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F94F4" w14:textId="746808C0" w:rsidR="0033454E" w:rsidRPr="00214C38" w:rsidRDefault="0033454E" w:rsidP="0033454E">
      <w:pPr>
        <w:rPr>
          <w:color w:val="000000" w:themeColor="text1"/>
        </w:rPr>
      </w:pPr>
      <w:r w:rsidRPr="00214C38">
        <w:rPr>
          <w:noProof/>
          <w:color w:val="000000" w:themeColor="text1"/>
          <w:lang w:eastAsia="en-GB" w:bidi="ar-SA"/>
        </w:rPr>
        <w:drawing>
          <wp:inline distT="0" distB="0" distL="0" distR="0" wp14:anchorId="4B100804" wp14:editId="5624991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F622AF6" w14:textId="77777777" w:rsidR="0033454E" w:rsidRPr="00214C38" w:rsidRDefault="0033454E" w:rsidP="0033454E">
      <w:pPr>
        <w:rPr>
          <w:color w:val="000000" w:themeColor="text1"/>
        </w:rPr>
      </w:pPr>
    </w:p>
    <w:p w14:paraId="6EEAC060" w14:textId="568D37D7" w:rsidR="00E54880" w:rsidRDefault="00E54880" w:rsidP="00E54880">
      <w:pPr>
        <w:rPr>
          <w:b/>
          <w:sz w:val="28"/>
          <w:szCs w:val="28"/>
        </w:rPr>
      </w:pPr>
      <w:r>
        <w:rPr>
          <w:b/>
          <w:sz w:val="28"/>
          <w:szCs w:val="28"/>
        </w:rPr>
        <w:t>12 May 2017</w:t>
      </w:r>
    </w:p>
    <w:p w14:paraId="3EE3027C" w14:textId="77777777" w:rsidR="00E54880" w:rsidRDefault="00E54880" w:rsidP="00E54880">
      <w:pPr>
        <w:rPr>
          <w:b/>
          <w:sz w:val="28"/>
          <w:szCs w:val="28"/>
        </w:rPr>
      </w:pPr>
      <w:r>
        <w:rPr>
          <w:b/>
          <w:sz w:val="28"/>
          <w:szCs w:val="28"/>
        </w:rPr>
        <w:t>[12–17]</w:t>
      </w:r>
    </w:p>
    <w:p w14:paraId="6FC68278" w14:textId="77777777" w:rsidR="0033454E" w:rsidRPr="001B5342" w:rsidRDefault="0033454E" w:rsidP="0033454E">
      <w:pPr>
        <w:rPr>
          <w:color w:val="000000" w:themeColor="text1"/>
        </w:rPr>
      </w:pPr>
    </w:p>
    <w:p w14:paraId="2D8833C6" w14:textId="77777777" w:rsidR="0033454E" w:rsidRPr="001B5342" w:rsidRDefault="0033454E" w:rsidP="0033454E">
      <w:pPr>
        <w:pStyle w:val="FSTitle"/>
        <w:rPr>
          <w:b/>
          <w:color w:val="000000" w:themeColor="text1"/>
        </w:rPr>
      </w:pPr>
      <w:r w:rsidRPr="001B5342">
        <w:rPr>
          <w:b/>
          <w:color w:val="000000" w:themeColor="text1"/>
        </w:rPr>
        <w:t>Supporting document 1</w:t>
      </w:r>
    </w:p>
    <w:p w14:paraId="5D370846" w14:textId="77777777" w:rsidR="0033454E" w:rsidRPr="001B5342" w:rsidRDefault="0033454E" w:rsidP="0033454E">
      <w:pPr>
        <w:rPr>
          <w:color w:val="000000" w:themeColor="text1"/>
        </w:rPr>
      </w:pPr>
    </w:p>
    <w:p w14:paraId="23453B00" w14:textId="77777777" w:rsidR="0033454E" w:rsidRPr="001B5342" w:rsidRDefault="0033454E" w:rsidP="0033454E">
      <w:pPr>
        <w:pStyle w:val="FSTitle"/>
        <w:rPr>
          <w:color w:val="000000" w:themeColor="text1"/>
        </w:rPr>
      </w:pPr>
      <w:r w:rsidRPr="001B5342">
        <w:rPr>
          <w:color w:val="000000" w:themeColor="text1"/>
        </w:rPr>
        <w:t>Safety Assessment Report – Application A1140</w:t>
      </w:r>
    </w:p>
    <w:p w14:paraId="31F5331C" w14:textId="77777777" w:rsidR="0033454E" w:rsidRPr="00074884" w:rsidRDefault="0033454E" w:rsidP="0033454E">
      <w:pPr>
        <w:rPr>
          <w:color w:val="000000" w:themeColor="text1"/>
        </w:rPr>
      </w:pPr>
    </w:p>
    <w:p w14:paraId="26B69749" w14:textId="77777777" w:rsidR="0033454E" w:rsidRPr="00074884" w:rsidRDefault="0033454E" w:rsidP="0033454E">
      <w:pPr>
        <w:pStyle w:val="FSTitle"/>
        <w:rPr>
          <w:color w:val="000000" w:themeColor="text1"/>
        </w:rPr>
      </w:pPr>
      <w:r w:rsidRPr="00074884">
        <w:rPr>
          <w:color w:val="000000" w:themeColor="text1"/>
        </w:rPr>
        <w:t>Food derived from Herbicide-tolerant Canola Line MS11</w:t>
      </w:r>
    </w:p>
    <w:p w14:paraId="45D68464" w14:textId="77777777" w:rsidR="0033454E" w:rsidRPr="00074884" w:rsidRDefault="0033454E" w:rsidP="0033454E">
      <w:pPr>
        <w:pBdr>
          <w:bottom w:val="single" w:sz="12" w:space="1" w:color="auto"/>
        </w:pBdr>
        <w:spacing w:line="280" w:lineRule="exact"/>
        <w:rPr>
          <w:rFonts w:cs="Arial"/>
          <w:bCs/>
          <w:color w:val="000000" w:themeColor="text1"/>
        </w:rPr>
      </w:pPr>
    </w:p>
    <w:p w14:paraId="51A1C4FF" w14:textId="77777777" w:rsidR="0033454E" w:rsidRPr="00074884" w:rsidRDefault="0033454E" w:rsidP="0033454E">
      <w:pPr>
        <w:rPr>
          <w:color w:val="000000" w:themeColor="text1"/>
        </w:rPr>
      </w:pPr>
    </w:p>
    <w:p w14:paraId="460F4E37" w14:textId="77777777" w:rsidR="0033454E" w:rsidRPr="00074884" w:rsidRDefault="0033454E" w:rsidP="0033454E">
      <w:pPr>
        <w:pStyle w:val="Heading1"/>
        <w:ind w:left="720" w:hanging="720"/>
        <w:jc w:val="both"/>
        <w:rPr>
          <w:color w:val="000000" w:themeColor="text1"/>
          <w:szCs w:val="36"/>
        </w:rPr>
      </w:pPr>
      <w:bookmarkStart w:id="0" w:name="_Toc481491413"/>
      <w:r>
        <w:rPr>
          <w:color w:val="000000" w:themeColor="text1"/>
          <w:szCs w:val="36"/>
        </w:rPr>
        <w:t>Executive summary</w:t>
      </w:r>
      <w:bookmarkEnd w:id="0"/>
    </w:p>
    <w:p w14:paraId="54387D2E" w14:textId="77777777" w:rsidR="0033454E" w:rsidRPr="00074884" w:rsidRDefault="0033454E" w:rsidP="0033454E">
      <w:pPr>
        <w:pStyle w:val="Heading2"/>
        <w:rPr>
          <w:color w:val="000000" w:themeColor="text1"/>
        </w:rPr>
      </w:pPr>
      <w:bookmarkStart w:id="1" w:name="_Toc481491414"/>
      <w:r w:rsidRPr="00074884">
        <w:rPr>
          <w:color w:val="000000" w:themeColor="text1"/>
        </w:rPr>
        <w:t>Background</w:t>
      </w:r>
      <w:bookmarkEnd w:id="1"/>
    </w:p>
    <w:p w14:paraId="16272874" w14:textId="77777777" w:rsidR="0033454E" w:rsidRPr="00074884" w:rsidRDefault="0033454E" w:rsidP="0033454E">
      <w:pPr>
        <w:rPr>
          <w:color w:val="000000" w:themeColor="text1"/>
          <w:szCs w:val="22"/>
        </w:rPr>
      </w:pPr>
      <w:r w:rsidRPr="00074884">
        <w:rPr>
          <w:color w:val="000000" w:themeColor="text1"/>
        </w:rPr>
        <w:t xml:space="preserve">A genetically modified (GM) canola line with OECD Unique Identifier BCS-BN012-7 (herein referred to as MS11) has been developed by Bayer CropScience. </w:t>
      </w:r>
      <w:r w:rsidRPr="00074884">
        <w:rPr>
          <w:color w:val="000000" w:themeColor="text1"/>
          <w:szCs w:val="22"/>
        </w:rPr>
        <w:t xml:space="preserve">This canola line has been genetically modified </w:t>
      </w:r>
      <w:r>
        <w:rPr>
          <w:color w:val="000000" w:themeColor="text1"/>
          <w:szCs w:val="22"/>
        </w:rPr>
        <w:t xml:space="preserve">to confer two </w:t>
      </w:r>
      <w:r w:rsidRPr="00074884">
        <w:rPr>
          <w:color w:val="000000" w:themeColor="text1"/>
          <w:szCs w:val="22"/>
        </w:rPr>
        <w:t xml:space="preserve">novel </w:t>
      </w:r>
      <w:r>
        <w:rPr>
          <w:color w:val="000000" w:themeColor="text1"/>
          <w:szCs w:val="22"/>
        </w:rPr>
        <w:t xml:space="preserve">agronomic </w:t>
      </w:r>
      <w:r w:rsidRPr="00074884">
        <w:rPr>
          <w:color w:val="000000" w:themeColor="text1"/>
          <w:szCs w:val="22"/>
        </w:rPr>
        <w:t>traits – tolerance to the broad spectrum herbicide glufosinate ammonium (glufosinate) and expression of male sterility.</w:t>
      </w:r>
    </w:p>
    <w:p w14:paraId="77479C57" w14:textId="77777777" w:rsidR="0033454E" w:rsidRPr="002E1DB8" w:rsidRDefault="0033454E" w:rsidP="0033454E">
      <w:pPr>
        <w:rPr>
          <w:color w:val="000000" w:themeColor="text1"/>
          <w:szCs w:val="22"/>
          <w:lang w:val="en-AU"/>
        </w:rPr>
      </w:pPr>
    </w:p>
    <w:p w14:paraId="1145AA46" w14:textId="77777777" w:rsidR="0033454E" w:rsidRDefault="0033454E" w:rsidP="0033454E">
      <w:pPr>
        <w:rPr>
          <w:rFonts w:cs="Arial"/>
          <w:color w:val="000000" w:themeColor="text1"/>
          <w:szCs w:val="22"/>
        </w:rPr>
      </w:pPr>
      <w:r w:rsidRPr="002E1DB8">
        <w:rPr>
          <w:color w:val="000000" w:themeColor="text1"/>
          <w:szCs w:val="22"/>
          <w:lang w:val="en-AU"/>
        </w:rPr>
        <w:t>Tolerance to glufosinate is achieved through constitutive expression of phosphinothricin N- acetyltransferase (PAT)</w:t>
      </w:r>
      <w:r w:rsidRPr="002E1DB8">
        <w:rPr>
          <w:rFonts w:cs="Arial"/>
          <w:color w:val="000000" w:themeColor="text1"/>
          <w:szCs w:val="22"/>
        </w:rPr>
        <w:t xml:space="preserve"> encoded by the </w:t>
      </w:r>
      <w:r w:rsidRPr="002E1DB8">
        <w:rPr>
          <w:rFonts w:cs="Arial"/>
          <w:i/>
          <w:color w:val="000000" w:themeColor="text1"/>
          <w:szCs w:val="22"/>
        </w:rPr>
        <w:t xml:space="preserve">bar </w:t>
      </w:r>
      <w:r>
        <w:rPr>
          <w:rFonts w:cs="Arial"/>
          <w:i/>
          <w:color w:val="000000" w:themeColor="text1"/>
          <w:szCs w:val="22"/>
        </w:rPr>
        <w:t xml:space="preserve">(bialaphos) </w:t>
      </w:r>
      <w:r w:rsidRPr="002E1DB8">
        <w:rPr>
          <w:rFonts w:cs="Arial"/>
          <w:color w:val="000000" w:themeColor="text1"/>
          <w:szCs w:val="22"/>
        </w:rPr>
        <w:t xml:space="preserve">gene from </w:t>
      </w:r>
      <w:r w:rsidRPr="002E1DB8">
        <w:rPr>
          <w:rFonts w:cs="Arial"/>
          <w:i/>
          <w:color w:val="000000" w:themeColor="text1"/>
          <w:szCs w:val="22"/>
        </w:rPr>
        <w:t>Streptomyces hygroscopicus</w:t>
      </w:r>
      <w:r w:rsidRPr="002E1DB8">
        <w:rPr>
          <w:rFonts w:cs="Arial"/>
          <w:color w:val="000000" w:themeColor="text1"/>
          <w:szCs w:val="22"/>
        </w:rPr>
        <w:t>. The PAT protein has been assessed by FSANZ in 22 previous FSANZ applications, and globally is represented in six major crop species and over 30 approved GM single plant events.</w:t>
      </w:r>
    </w:p>
    <w:p w14:paraId="38A1EBDD" w14:textId="77777777" w:rsidR="0033454E" w:rsidRDefault="0033454E" w:rsidP="0033454E">
      <w:pPr>
        <w:rPr>
          <w:rFonts w:cs="Arial"/>
          <w:color w:val="000000" w:themeColor="text1"/>
          <w:szCs w:val="22"/>
        </w:rPr>
      </w:pPr>
    </w:p>
    <w:p w14:paraId="36E24C1C" w14:textId="38140760" w:rsidR="0033454E" w:rsidRPr="00E84D1C" w:rsidRDefault="0033454E" w:rsidP="00E84D1C">
      <w:pPr>
        <w:autoSpaceDE w:val="0"/>
        <w:autoSpaceDN w:val="0"/>
        <w:adjustRightInd w:val="0"/>
        <w:rPr>
          <w:rFonts w:ascii="ArialMT" w:hAnsi="ArialMT" w:cs="ArialMT"/>
          <w:sz w:val="20"/>
          <w:lang w:eastAsia="en-GB"/>
        </w:rPr>
      </w:pPr>
      <w:r>
        <w:rPr>
          <w:color w:val="000000" w:themeColor="text1"/>
          <w:szCs w:val="22"/>
        </w:rPr>
        <w:t xml:space="preserve">Male sterility is conferred by the </w:t>
      </w:r>
      <w:r w:rsidRPr="002E1DB8">
        <w:rPr>
          <w:i/>
          <w:color w:val="000000" w:themeColor="text1"/>
          <w:szCs w:val="22"/>
        </w:rPr>
        <w:t>barnase</w:t>
      </w:r>
      <w:r>
        <w:rPr>
          <w:color w:val="000000" w:themeColor="text1"/>
          <w:szCs w:val="22"/>
        </w:rPr>
        <w:t xml:space="preserve"> gene from </w:t>
      </w:r>
      <w:r w:rsidRPr="00AB249D">
        <w:rPr>
          <w:i/>
          <w:color w:val="000000" w:themeColor="text1"/>
          <w:szCs w:val="22"/>
        </w:rPr>
        <w:t>Bacillus amyloliquefaciens</w:t>
      </w:r>
      <w:r>
        <w:rPr>
          <w:color w:val="000000" w:themeColor="text1"/>
          <w:szCs w:val="22"/>
        </w:rPr>
        <w:t xml:space="preserve"> that is driven by a promoter specific to the tapetal cells </w:t>
      </w:r>
      <w:r w:rsidRPr="0027531C">
        <w:rPr>
          <w:rFonts w:cs="Arial"/>
          <w:color w:val="000000" w:themeColor="text1"/>
          <w:szCs w:val="22"/>
        </w:rPr>
        <w:t>of the developing anthers of MS11 canola. The Barnase (</w:t>
      </w:r>
      <w:r w:rsidRPr="0027531C">
        <w:rPr>
          <w:rFonts w:cs="Arial"/>
          <w:color w:val="000000" w:themeColor="text1"/>
          <w:szCs w:val="22"/>
          <w:u w:val="single"/>
        </w:rPr>
        <w:t>ba</w:t>
      </w:r>
      <w:r w:rsidRPr="0027531C">
        <w:rPr>
          <w:rFonts w:cs="Arial"/>
          <w:color w:val="000000" w:themeColor="text1"/>
          <w:szCs w:val="22"/>
        </w:rPr>
        <w:t xml:space="preserve">cterial cytotoxic </w:t>
      </w:r>
      <w:r w:rsidRPr="0027531C">
        <w:rPr>
          <w:rFonts w:cs="Arial"/>
          <w:color w:val="000000" w:themeColor="text1"/>
          <w:szCs w:val="22"/>
          <w:u w:val="single"/>
        </w:rPr>
        <w:t>r</w:t>
      </w:r>
      <w:r w:rsidRPr="0027531C">
        <w:rPr>
          <w:rFonts w:cs="Arial"/>
          <w:color w:val="000000" w:themeColor="text1"/>
          <w:szCs w:val="22"/>
        </w:rPr>
        <w:t>ibo</w:t>
      </w:r>
      <w:r w:rsidRPr="0027531C">
        <w:rPr>
          <w:rFonts w:cs="Arial"/>
          <w:color w:val="000000" w:themeColor="text1"/>
          <w:szCs w:val="22"/>
          <w:u w:val="single"/>
        </w:rPr>
        <w:t>n</w:t>
      </w:r>
      <w:r w:rsidRPr="0027531C">
        <w:rPr>
          <w:rFonts w:cs="Arial"/>
          <w:color w:val="000000" w:themeColor="text1"/>
          <w:szCs w:val="22"/>
        </w:rPr>
        <w:t>ucle</w:t>
      </w:r>
      <w:r w:rsidRPr="0027531C">
        <w:rPr>
          <w:rFonts w:cs="Arial"/>
          <w:color w:val="000000" w:themeColor="text1"/>
          <w:szCs w:val="22"/>
          <w:u w:val="single"/>
        </w:rPr>
        <w:t>ase</w:t>
      </w:r>
      <w:r w:rsidRPr="0027531C">
        <w:rPr>
          <w:rFonts w:cs="Arial"/>
          <w:color w:val="000000" w:themeColor="text1"/>
          <w:szCs w:val="22"/>
        </w:rPr>
        <w:t xml:space="preserve">) protein </w:t>
      </w:r>
      <w:r w:rsidRPr="0027531C">
        <w:rPr>
          <w:rFonts w:cs="Arial"/>
          <w:szCs w:val="22"/>
          <w:lang w:eastAsia="en-GB" w:bidi="ar-SA"/>
        </w:rPr>
        <w:t>causes RNA degradation, cell disruption, and cell death and hence leads to</w:t>
      </w:r>
      <w:r w:rsidRPr="0027531C">
        <w:rPr>
          <w:rFonts w:cs="Arial"/>
          <w:color w:val="000000" w:themeColor="text1"/>
          <w:szCs w:val="22"/>
        </w:rPr>
        <w:t xml:space="preserve"> ablation of the tapetal cells that surr</w:t>
      </w:r>
      <w:r>
        <w:rPr>
          <w:rFonts w:cs="Arial"/>
          <w:color w:val="000000" w:themeColor="text1"/>
          <w:szCs w:val="22"/>
        </w:rPr>
        <w:t>ound the pollen sac thereby preventing normal pollen formation</w:t>
      </w:r>
      <w:r w:rsidRPr="0027531C">
        <w:rPr>
          <w:rFonts w:cs="Arial"/>
          <w:color w:val="000000" w:themeColor="text1"/>
          <w:szCs w:val="22"/>
        </w:rPr>
        <w:t>.</w:t>
      </w:r>
      <w:r>
        <w:rPr>
          <w:color w:val="000000" w:themeColor="text1"/>
          <w:szCs w:val="22"/>
        </w:rPr>
        <w:t xml:space="preserve"> </w:t>
      </w:r>
      <w:r w:rsidR="00F1658E">
        <w:rPr>
          <w:color w:val="000000" w:themeColor="text1"/>
          <w:szCs w:val="22"/>
        </w:rPr>
        <w:t xml:space="preserve">Hence MS11 is unable to either self-pollinate or pollinate other plants but the female reproductive parts of the flower remain functional. </w:t>
      </w:r>
      <w:r w:rsidR="00F1658E" w:rsidRPr="00337AFC">
        <w:rPr>
          <w:color w:val="000000" w:themeColor="text1"/>
          <w:szCs w:val="22"/>
        </w:rPr>
        <w:t>The Applicant’s intention is to use the male sterile (MS) l</w:t>
      </w:r>
      <w:r w:rsidR="00F1658E">
        <w:rPr>
          <w:color w:val="000000" w:themeColor="text1"/>
          <w:szCs w:val="22"/>
        </w:rPr>
        <w:t xml:space="preserve">ine in a hybrid breeding system </w:t>
      </w:r>
      <w:r w:rsidR="00F1658E" w:rsidRPr="00337AFC">
        <w:rPr>
          <w:color w:val="000000" w:themeColor="text1"/>
          <w:szCs w:val="22"/>
        </w:rPr>
        <w:t xml:space="preserve">in which MS11 </w:t>
      </w:r>
      <w:r w:rsidR="00F1658E">
        <w:rPr>
          <w:color w:val="000000" w:themeColor="text1"/>
          <w:szCs w:val="22"/>
        </w:rPr>
        <w:t>(</w:t>
      </w:r>
      <w:r w:rsidR="00F1658E" w:rsidRPr="00337AFC">
        <w:rPr>
          <w:color w:val="000000" w:themeColor="text1"/>
          <w:szCs w:val="22"/>
        </w:rPr>
        <w:t xml:space="preserve">as the female </w:t>
      </w:r>
      <w:r w:rsidR="00F1658E" w:rsidRPr="00885A29">
        <w:rPr>
          <w:color w:val="000000" w:themeColor="text1"/>
          <w:szCs w:val="22"/>
        </w:rPr>
        <w:t xml:space="preserve">parent line) is outcrossed with an agronomically-superior male line (the pollen donor) containing a protein (Barstar) which inhibits the Barnase protein, thus restoring fertility in the seed sown by the farmer. The </w:t>
      </w:r>
      <w:r w:rsidR="00F1658E">
        <w:rPr>
          <w:color w:val="000000" w:themeColor="text1"/>
          <w:szCs w:val="22"/>
        </w:rPr>
        <w:t>plants germinating from this seed therefore show hybrid vigour as well as being</w:t>
      </w:r>
      <w:r w:rsidR="00F1658E" w:rsidRPr="00885A29">
        <w:rPr>
          <w:color w:val="000000" w:themeColor="text1"/>
          <w:szCs w:val="22"/>
        </w:rPr>
        <w:t xml:space="preserve"> able </w:t>
      </w:r>
      <w:r w:rsidR="00F1658E" w:rsidRPr="00885A29">
        <w:rPr>
          <w:rFonts w:ascii="ArialMT" w:hAnsi="ArialMT" w:cs="ArialMT"/>
          <w:color w:val="000000" w:themeColor="text1"/>
          <w:szCs w:val="22"/>
          <w:lang w:eastAsia="en-GB"/>
        </w:rPr>
        <w:t xml:space="preserve">to self-pollinate and produce seed that is harvested for the food/feed market. </w:t>
      </w:r>
      <w:r>
        <w:rPr>
          <w:color w:val="000000" w:themeColor="text1"/>
          <w:szCs w:val="22"/>
        </w:rPr>
        <w:t>MS11 will not</w:t>
      </w:r>
      <w:r w:rsidR="00F1658E">
        <w:rPr>
          <w:color w:val="000000" w:themeColor="text1"/>
          <w:szCs w:val="22"/>
        </w:rPr>
        <w:t>,</w:t>
      </w:r>
      <w:r>
        <w:rPr>
          <w:color w:val="000000" w:themeColor="text1"/>
          <w:szCs w:val="22"/>
        </w:rPr>
        <w:t xml:space="preserve"> itself</w:t>
      </w:r>
      <w:r w:rsidR="00F1658E">
        <w:rPr>
          <w:color w:val="000000" w:themeColor="text1"/>
          <w:szCs w:val="22"/>
        </w:rPr>
        <w:t>,</w:t>
      </w:r>
      <w:r>
        <w:rPr>
          <w:color w:val="000000" w:themeColor="text1"/>
          <w:szCs w:val="22"/>
        </w:rPr>
        <w:t xml:space="preserve"> be used as a food producing line.</w:t>
      </w:r>
      <w:r w:rsidR="00E84D1C">
        <w:rPr>
          <w:color w:val="000000" w:themeColor="text1"/>
          <w:szCs w:val="22"/>
        </w:rPr>
        <w:t xml:space="preserve"> </w:t>
      </w:r>
    </w:p>
    <w:p w14:paraId="228EAB4F" w14:textId="77777777" w:rsidR="0033454E" w:rsidRDefault="0033454E" w:rsidP="0033454E">
      <w:pPr>
        <w:rPr>
          <w:color w:val="000000" w:themeColor="text1"/>
          <w:szCs w:val="22"/>
        </w:rPr>
      </w:pPr>
    </w:p>
    <w:p w14:paraId="564EC712" w14:textId="77777777" w:rsidR="0033454E" w:rsidRPr="00074884" w:rsidRDefault="0033454E" w:rsidP="0033454E">
      <w:pPr>
        <w:rPr>
          <w:color w:val="000000" w:themeColor="text1"/>
          <w:lang w:val="en-US"/>
        </w:rPr>
      </w:pPr>
      <w:r w:rsidRPr="00074884">
        <w:rPr>
          <w:color w:val="000000" w:themeColor="text1"/>
          <w:lang w:val="en-US"/>
        </w:rPr>
        <w:t xml:space="preserve">MS11 also contains the </w:t>
      </w:r>
      <w:r w:rsidRPr="00074884">
        <w:rPr>
          <w:i/>
          <w:color w:val="000000" w:themeColor="text1"/>
          <w:lang w:val="en-US"/>
        </w:rPr>
        <w:t>barstar</w:t>
      </w:r>
      <w:r w:rsidRPr="00074884">
        <w:rPr>
          <w:color w:val="000000" w:themeColor="text1"/>
          <w:lang w:val="en-US"/>
        </w:rPr>
        <w:t xml:space="preserve"> gene from </w:t>
      </w:r>
      <w:r w:rsidRPr="00074884">
        <w:rPr>
          <w:i/>
          <w:color w:val="000000" w:themeColor="text1"/>
          <w:lang w:val="en-US"/>
        </w:rPr>
        <w:t>B. amyloliquefaciens</w:t>
      </w:r>
      <w:r>
        <w:rPr>
          <w:color w:val="000000" w:themeColor="text1"/>
          <w:lang w:val="en-US"/>
        </w:rPr>
        <w:t>. The resulting Barstar protein is only weakly expressed and is not sufficient to override the effect of Barnase produced in the anther. However, it is sufficient to</w:t>
      </w:r>
      <w:r w:rsidRPr="00337AFC">
        <w:rPr>
          <w:color w:val="000000" w:themeColor="text1"/>
          <w:lang w:val="en-US"/>
        </w:rPr>
        <w:t xml:space="preserve"> </w:t>
      </w:r>
      <w:r>
        <w:rPr>
          <w:color w:val="000000" w:themeColor="text1"/>
          <w:lang w:val="en-US"/>
        </w:rPr>
        <w:t xml:space="preserve">inhibit any Barnase that </w:t>
      </w:r>
      <w:r w:rsidRPr="00337AFC">
        <w:rPr>
          <w:color w:val="000000" w:themeColor="text1"/>
          <w:lang w:val="en-US"/>
        </w:rPr>
        <w:t xml:space="preserve">is </w:t>
      </w:r>
      <w:r>
        <w:rPr>
          <w:rFonts w:cs="Arial"/>
          <w:szCs w:val="22"/>
          <w:lang w:eastAsia="en-GB" w:bidi="ar-SA"/>
        </w:rPr>
        <w:t xml:space="preserve">inadvertently expressed in </w:t>
      </w:r>
      <w:r w:rsidRPr="00C30017">
        <w:rPr>
          <w:rFonts w:cs="Arial"/>
          <w:szCs w:val="22"/>
          <w:lang w:eastAsia="en-GB" w:bidi="ar-SA"/>
        </w:rPr>
        <w:t xml:space="preserve">tissues other than </w:t>
      </w:r>
      <w:r>
        <w:rPr>
          <w:rFonts w:cs="Arial"/>
          <w:szCs w:val="22"/>
          <w:lang w:eastAsia="en-GB" w:bidi="ar-SA"/>
        </w:rPr>
        <w:t xml:space="preserve">the anther and which may adversely affect agronomic performance. Thus the presence of the </w:t>
      </w:r>
      <w:r w:rsidRPr="007C348C">
        <w:rPr>
          <w:rFonts w:cs="Arial"/>
          <w:i/>
          <w:szCs w:val="22"/>
          <w:lang w:eastAsia="en-GB" w:bidi="ar-SA"/>
        </w:rPr>
        <w:t>barstar</w:t>
      </w:r>
      <w:r>
        <w:rPr>
          <w:rFonts w:cs="Arial"/>
          <w:szCs w:val="22"/>
          <w:lang w:eastAsia="en-GB" w:bidi="ar-SA"/>
        </w:rPr>
        <w:t xml:space="preserve"> gene in MS11 assists in </w:t>
      </w:r>
      <w:r w:rsidRPr="00337AFC">
        <w:rPr>
          <w:color w:val="000000" w:themeColor="text1"/>
          <w:lang w:val="en-US"/>
        </w:rPr>
        <w:t>improv</w:t>
      </w:r>
      <w:r>
        <w:rPr>
          <w:color w:val="000000" w:themeColor="text1"/>
          <w:lang w:val="en-US"/>
        </w:rPr>
        <w:t>ing</w:t>
      </w:r>
      <w:r w:rsidRPr="00337AFC">
        <w:rPr>
          <w:color w:val="000000" w:themeColor="text1"/>
          <w:lang w:val="en-US"/>
        </w:rPr>
        <w:t xml:space="preserve"> the quality of male-sterile </w:t>
      </w:r>
      <w:r>
        <w:rPr>
          <w:color w:val="000000" w:themeColor="text1"/>
          <w:lang w:val="en-US"/>
        </w:rPr>
        <w:t>lines</w:t>
      </w:r>
      <w:r w:rsidRPr="00337AFC">
        <w:rPr>
          <w:color w:val="000000" w:themeColor="text1"/>
          <w:lang w:val="en-US"/>
        </w:rPr>
        <w:t xml:space="preserve"> </w:t>
      </w:r>
      <w:r>
        <w:rPr>
          <w:color w:val="000000" w:themeColor="text1"/>
          <w:lang w:val="en-US"/>
        </w:rPr>
        <w:t>identified during the selection phase</w:t>
      </w:r>
      <w:r w:rsidRPr="00337AFC">
        <w:rPr>
          <w:color w:val="000000" w:themeColor="text1"/>
          <w:lang w:val="en-US"/>
        </w:rPr>
        <w:t>.</w:t>
      </w:r>
      <w:r>
        <w:rPr>
          <w:color w:val="000000" w:themeColor="text1"/>
          <w:lang w:val="en-US"/>
        </w:rPr>
        <w:t xml:space="preserve"> </w:t>
      </w:r>
    </w:p>
    <w:p w14:paraId="2737E16C" w14:textId="77777777" w:rsidR="0033454E" w:rsidRPr="00074884" w:rsidRDefault="0033454E" w:rsidP="0033454E">
      <w:pPr>
        <w:rPr>
          <w:color w:val="000000" w:themeColor="text1"/>
          <w:szCs w:val="22"/>
        </w:rPr>
      </w:pPr>
    </w:p>
    <w:p w14:paraId="114950D4" w14:textId="77777777" w:rsidR="00B64DEE" w:rsidRDefault="00B64DEE">
      <w:pPr>
        <w:widowControl/>
        <w:rPr>
          <w:color w:val="000000" w:themeColor="text1"/>
        </w:rPr>
      </w:pPr>
      <w:r>
        <w:rPr>
          <w:color w:val="000000" w:themeColor="text1"/>
        </w:rPr>
        <w:br w:type="page"/>
      </w:r>
    </w:p>
    <w:p w14:paraId="056D33AB" w14:textId="4825051B" w:rsidR="0033454E" w:rsidRPr="00074884" w:rsidRDefault="0033454E" w:rsidP="0033454E">
      <w:pPr>
        <w:rPr>
          <w:color w:val="000000" w:themeColor="text1"/>
        </w:rPr>
      </w:pPr>
      <w:r w:rsidRPr="00074884">
        <w:rPr>
          <w:color w:val="000000" w:themeColor="text1"/>
        </w:rPr>
        <w:lastRenderedPageBreak/>
        <w:t xml:space="preserve">In conducting a safety assessment of food derived from MS11, a number of criteria have been addressed including: a characterisation of the transferred gene sequences, their origin, function and stability in the canola genome; the changes at the level of DNA and protein in the whole food; compositional analyses; and evaluation of intended and unintended changes. </w:t>
      </w:r>
    </w:p>
    <w:p w14:paraId="4963E756" w14:textId="77777777" w:rsidR="0033454E" w:rsidRPr="00074884" w:rsidRDefault="0033454E" w:rsidP="0033454E">
      <w:pPr>
        <w:rPr>
          <w:color w:val="000000" w:themeColor="text1"/>
        </w:rPr>
      </w:pPr>
      <w:r w:rsidRPr="00074884">
        <w:rPr>
          <w:color w:val="000000" w:themeColor="text1"/>
        </w:rPr>
        <w:t xml:space="preserve">This safety assessment report addresses only food safety and nutritional issues of the GM food </w:t>
      </w:r>
      <w:r w:rsidRPr="00074884">
        <w:rPr>
          <w:i/>
          <w:color w:val="000000" w:themeColor="text1"/>
        </w:rPr>
        <w:t>per se</w:t>
      </w:r>
      <w:r w:rsidRPr="00074884">
        <w:rPr>
          <w:color w:val="000000" w:themeColor="text1"/>
        </w:rPr>
        <w:t xml:space="preserve">. It therefore does not address: </w:t>
      </w:r>
    </w:p>
    <w:p w14:paraId="18AE9B45" w14:textId="77777777" w:rsidR="0033454E" w:rsidRPr="00074884" w:rsidRDefault="0033454E" w:rsidP="0033454E">
      <w:pPr>
        <w:rPr>
          <w:color w:val="000000" w:themeColor="text1"/>
        </w:rPr>
      </w:pPr>
    </w:p>
    <w:p w14:paraId="7D877569" w14:textId="77777777" w:rsidR="0033454E" w:rsidRPr="00074884" w:rsidRDefault="0033454E" w:rsidP="0033454E">
      <w:pPr>
        <w:pStyle w:val="FSBullet1"/>
        <w:rPr>
          <w:color w:val="000000" w:themeColor="text1"/>
        </w:rPr>
      </w:pPr>
      <w:r w:rsidRPr="00074884">
        <w:rPr>
          <w:color w:val="000000" w:themeColor="text1"/>
        </w:rPr>
        <w:t>environmental risks related to the environmental release of GM plants used in food production</w:t>
      </w:r>
    </w:p>
    <w:p w14:paraId="50B04B0F" w14:textId="77777777" w:rsidR="0033454E" w:rsidRPr="00074884" w:rsidRDefault="0033454E" w:rsidP="0033454E">
      <w:pPr>
        <w:pStyle w:val="FSBullet1"/>
        <w:rPr>
          <w:color w:val="000000" w:themeColor="text1"/>
        </w:rPr>
      </w:pPr>
      <w:r w:rsidRPr="00074884">
        <w:rPr>
          <w:color w:val="000000" w:themeColor="text1"/>
        </w:rPr>
        <w:t>the safety of animal feed, or animals fed with feed, derived from GM plants</w:t>
      </w:r>
    </w:p>
    <w:p w14:paraId="163C5957" w14:textId="77777777" w:rsidR="0033454E" w:rsidRPr="00074884" w:rsidRDefault="0033454E" w:rsidP="0033454E">
      <w:pPr>
        <w:pStyle w:val="FSBullet1"/>
        <w:rPr>
          <w:color w:val="000000" w:themeColor="text1"/>
        </w:rPr>
      </w:pPr>
      <w:r w:rsidRPr="00074884">
        <w:rPr>
          <w:color w:val="000000" w:themeColor="text1"/>
        </w:rPr>
        <w:t>the safety of food derived from the non-GM (conventional) plant.</w:t>
      </w:r>
    </w:p>
    <w:p w14:paraId="243C1EBF" w14:textId="77777777" w:rsidR="0033454E" w:rsidRPr="00074884" w:rsidRDefault="0033454E" w:rsidP="0033454E">
      <w:pPr>
        <w:pStyle w:val="Heading2"/>
        <w:rPr>
          <w:color w:val="000000" w:themeColor="text1"/>
        </w:rPr>
      </w:pPr>
      <w:bookmarkStart w:id="2" w:name="_Toc481491415"/>
      <w:r w:rsidRPr="00074884">
        <w:rPr>
          <w:color w:val="000000" w:themeColor="text1"/>
        </w:rPr>
        <w:t>History of use</w:t>
      </w:r>
      <w:bookmarkEnd w:id="2"/>
    </w:p>
    <w:p w14:paraId="31744B72" w14:textId="77777777" w:rsidR="0033454E" w:rsidRPr="007D3437" w:rsidRDefault="0033454E" w:rsidP="0033454E">
      <w:pPr>
        <w:rPr>
          <w:rFonts w:cs="Arial"/>
          <w:szCs w:val="22"/>
        </w:rPr>
      </w:pPr>
      <w:r w:rsidRPr="007D3437">
        <w:rPr>
          <w:rFonts w:cs="Arial"/>
          <w:szCs w:val="22"/>
        </w:rPr>
        <w:t>Canola is rapeseed (</w:t>
      </w:r>
      <w:r w:rsidRPr="007D3437">
        <w:rPr>
          <w:rFonts w:cs="Arial"/>
          <w:i/>
          <w:szCs w:val="22"/>
        </w:rPr>
        <w:t xml:space="preserve">Brassica napus, B. rapa </w:t>
      </w:r>
      <w:r w:rsidRPr="007D3437">
        <w:rPr>
          <w:rFonts w:cs="Arial"/>
          <w:szCs w:val="22"/>
        </w:rPr>
        <w:t>or</w:t>
      </w:r>
      <w:r w:rsidRPr="007D3437">
        <w:rPr>
          <w:rFonts w:cs="Arial"/>
          <w:i/>
          <w:szCs w:val="22"/>
        </w:rPr>
        <w:t xml:space="preserve"> B. juncea</w:t>
      </w:r>
      <w:r w:rsidRPr="007D3437">
        <w:rPr>
          <w:rFonts w:cs="Arial"/>
          <w:szCs w:val="22"/>
        </w:rPr>
        <w:t>) which has been conventionally bred to contain less than 2% erucic acid and less than 30 micromoles of glucosinolates per gram of seed solids, by definition. Rapeseed is the second largest oilseed crop in the world behind soybean, although annual production is around 25% of soybean.</w:t>
      </w:r>
    </w:p>
    <w:p w14:paraId="557F27E2" w14:textId="77777777" w:rsidR="0033454E" w:rsidRPr="007D3437" w:rsidRDefault="0033454E" w:rsidP="0033454E">
      <w:pPr>
        <w:rPr>
          <w:rFonts w:eastAsia="Batang" w:cs="Arial"/>
          <w:szCs w:val="22"/>
        </w:rPr>
      </w:pPr>
    </w:p>
    <w:p w14:paraId="0A29F048" w14:textId="0A394DBD" w:rsidR="0033454E" w:rsidRPr="006663A9" w:rsidRDefault="0033454E" w:rsidP="0033454E">
      <w:pPr>
        <w:rPr>
          <w:rFonts w:cs="Arial"/>
          <w:szCs w:val="22"/>
        </w:rPr>
      </w:pPr>
      <w:r w:rsidRPr="007D3437">
        <w:rPr>
          <w:rFonts w:cs="Arial"/>
          <w:szCs w:val="22"/>
        </w:rPr>
        <w:t>Canola seeds are processed into two major products, oil and meal. The oil is the major product for human consumption, being used directly for cooking and as an ingredient in a variety of manufactured food products</w:t>
      </w:r>
      <w:r>
        <w:rPr>
          <w:rFonts w:cs="Arial"/>
          <w:szCs w:val="22"/>
        </w:rPr>
        <w:t xml:space="preserve"> </w:t>
      </w:r>
      <w:r w:rsidRPr="007D3437">
        <w:rPr>
          <w:rFonts w:cs="Arial"/>
          <w:iCs/>
          <w:szCs w:val="22"/>
        </w:rPr>
        <w:t>including salad and cooking oil, margarine, shortening and a range of prepared foods such as mayonnaise, sandwich spreads, creamers and coffee whiteners</w:t>
      </w:r>
      <w:r w:rsidRPr="007D3437">
        <w:rPr>
          <w:rFonts w:cs="Arial"/>
          <w:szCs w:val="22"/>
        </w:rPr>
        <w:t>. Canola oil is the third largest source of vegetable oil in the world after soybean oil and palm oil. Whole canola seeds are being used increasi</w:t>
      </w:r>
      <w:r w:rsidR="00A319A1">
        <w:rPr>
          <w:rFonts w:cs="Arial"/>
          <w:szCs w:val="22"/>
        </w:rPr>
        <w:t>ngly in products such as breads and there is potential for canola meal to be used as a source of protein isolate.</w:t>
      </w:r>
    </w:p>
    <w:p w14:paraId="05F3B235" w14:textId="77777777" w:rsidR="0033454E" w:rsidRPr="00074884" w:rsidRDefault="0033454E" w:rsidP="0033454E">
      <w:pPr>
        <w:pStyle w:val="Heading2"/>
        <w:ind w:left="0" w:firstLine="0"/>
        <w:rPr>
          <w:color w:val="000000" w:themeColor="text1"/>
        </w:rPr>
      </w:pPr>
      <w:bookmarkStart w:id="3" w:name="_Toc481491416"/>
      <w:r w:rsidRPr="00074884">
        <w:rPr>
          <w:color w:val="000000" w:themeColor="text1"/>
        </w:rPr>
        <w:t>Molecular characterisation</w:t>
      </w:r>
      <w:bookmarkEnd w:id="3"/>
    </w:p>
    <w:p w14:paraId="710849A2" w14:textId="77777777" w:rsidR="0033454E" w:rsidRPr="00E95C2D" w:rsidRDefault="0033454E" w:rsidP="0033454E">
      <w:pPr>
        <w:pStyle w:val="BodyText"/>
        <w:rPr>
          <w:rFonts w:cs="Arial"/>
          <w:i/>
          <w:color w:val="000000" w:themeColor="text1"/>
          <w:szCs w:val="22"/>
          <w:lang w:val="en-US"/>
        </w:rPr>
      </w:pPr>
      <w:bookmarkStart w:id="4" w:name="_Toc436665445"/>
      <w:r w:rsidRPr="00074884">
        <w:rPr>
          <w:color w:val="000000" w:themeColor="text1"/>
        </w:rPr>
        <w:t xml:space="preserve">MS11 was generated through </w:t>
      </w:r>
      <w:r w:rsidRPr="00074884">
        <w:rPr>
          <w:i/>
          <w:color w:val="000000" w:themeColor="text1"/>
        </w:rPr>
        <w:t>Agrobacterium</w:t>
      </w:r>
      <w:r w:rsidRPr="00074884">
        <w:rPr>
          <w:color w:val="000000" w:themeColor="text1"/>
        </w:rPr>
        <w:t xml:space="preserve">-mediated transformation with a single T-DNA containing three expression cassettes. </w:t>
      </w:r>
      <w:r w:rsidRPr="00074884">
        <w:rPr>
          <w:rFonts w:cs="Arial"/>
          <w:color w:val="000000" w:themeColor="text1"/>
          <w:szCs w:val="22"/>
          <w:lang w:val="en-US"/>
        </w:rPr>
        <w:t>Comprehensive molecular analyses indicate there is a single insertion site</w:t>
      </w:r>
      <w:r>
        <w:rPr>
          <w:rFonts w:cs="Arial"/>
          <w:color w:val="000000" w:themeColor="text1"/>
          <w:szCs w:val="22"/>
          <w:lang w:val="en-US"/>
        </w:rPr>
        <w:t>,</w:t>
      </w:r>
      <w:r w:rsidRPr="00074884">
        <w:rPr>
          <w:rFonts w:cs="Arial"/>
          <w:color w:val="000000" w:themeColor="text1"/>
          <w:szCs w:val="22"/>
          <w:lang w:val="en-US"/>
        </w:rPr>
        <w:t xml:space="preserve"> in chromosome A03</w:t>
      </w:r>
      <w:r>
        <w:rPr>
          <w:rFonts w:cs="Arial"/>
          <w:color w:val="000000" w:themeColor="text1"/>
          <w:szCs w:val="22"/>
          <w:lang w:val="en-US"/>
        </w:rPr>
        <w:t>,</w:t>
      </w:r>
      <w:r w:rsidRPr="00074884">
        <w:rPr>
          <w:rFonts w:cs="Arial"/>
          <w:color w:val="000000" w:themeColor="text1"/>
          <w:szCs w:val="22"/>
          <w:lang w:val="en-US"/>
        </w:rPr>
        <w:t xml:space="preserve"> </w:t>
      </w:r>
      <w:r w:rsidRPr="00074884">
        <w:rPr>
          <w:rFonts w:cs="Arial"/>
          <w:color w:val="000000" w:themeColor="text1"/>
          <w:szCs w:val="22"/>
        </w:rPr>
        <w:t xml:space="preserve">comprising a single, complete copy of each of the </w:t>
      </w:r>
      <w:r w:rsidRPr="00074884">
        <w:rPr>
          <w:i/>
          <w:color w:val="000000" w:themeColor="text1"/>
          <w:szCs w:val="22"/>
        </w:rPr>
        <w:t>bar, barnase</w:t>
      </w:r>
      <w:r>
        <w:rPr>
          <w:i/>
          <w:color w:val="000000" w:themeColor="text1"/>
          <w:szCs w:val="22"/>
        </w:rPr>
        <w:t xml:space="preserve"> </w:t>
      </w:r>
      <w:r w:rsidRPr="00074884">
        <w:rPr>
          <w:color w:val="000000" w:themeColor="text1"/>
          <w:szCs w:val="22"/>
        </w:rPr>
        <w:t xml:space="preserve">and </w:t>
      </w:r>
      <w:r w:rsidRPr="00074884">
        <w:rPr>
          <w:i/>
          <w:color w:val="000000" w:themeColor="text1"/>
          <w:szCs w:val="22"/>
        </w:rPr>
        <w:t>barstar</w:t>
      </w:r>
      <w:r w:rsidRPr="00074884">
        <w:rPr>
          <w:color w:val="000000" w:themeColor="text1"/>
          <w:szCs w:val="22"/>
        </w:rPr>
        <w:t xml:space="preserve"> genes</w:t>
      </w:r>
      <w:r w:rsidRPr="00074884">
        <w:rPr>
          <w:color w:val="000000" w:themeColor="text1"/>
        </w:rPr>
        <w:t xml:space="preserve"> with their regulatory elements</w:t>
      </w:r>
      <w:r w:rsidRPr="00074884">
        <w:rPr>
          <w:rFonts w:cs="Arial"/>
          <w:color w:val="000000" w:themeColor="text1"/>
          <w:szCs w:val="22"/>
        </w:rPr>
        <w:t xml:space="preserve">. </w:t>
      </w:r>
      <w:r w:rsidRPr="00074884">
        <w:rPr>
          <w:rFonts w:cs="Arial"/>
          <w:color w:val="000000" w:themeColor="text1"/>
          <w:szCs w:val="22"/>
          <w:lang w:val="en-US"/>
        </w:rPr>
        <w:t xml:space="preserve">The introduced genes are stably inherited from one generation to the next. </w:t>
      </w:r>
      <w:r w:rsidRPr="00074884">
        <w:rPr>
          <w:rFonts w:cs="Arial"/>
          <w:color w:val="000000" w:themeColor="text1"/>
          <w:szCs w:val="22"/>
        </w:rPr>
        <w:t xml:space="preserve">No plasmid backbone has been incorporated into the transgenic locus and no endogenous genes have been disrupted as a </w:t>
      </w:r>
      <w:r w:rsidRPr="00E95C2D">
        <w:rPr>
          <w:rFonts w:cs="Arial"/>
          <w:color w:val="000000" w:themeColor="text1"/>
          <w:szCs w:val="22"/>
        </w:rPr>
        <w:t>result of the transformation process.</w:t>
      </w:r>
    </w:p>
    <w:p w14:paraId="65FDB666" w14:textId="77777777" w:rsidR="0033454E" w:rsidRPr="00E95C2D" w:rsidRDefault="0033454E" w:rsidP="0033454E">
      <w:pPr>
        <w:pStyle w:val="Heading2"/>
        <w:rPr>
          <w:color w:val="000000" w:themeColor="text1"/>
        </w:rPr>
      </w:pPr>
      <w:bookmarkStart w:id="5" w:name="_Toc481491417"/>
      <w:r w:rsidRPr="00E95C2D">
        <w:rPr>
          <w:color w:val="000000" w:themeColor="text1"/>
        </w:rPr>
        <w:t>Characterisation and safety assessment of new substances</w:t>
      </w:r>
      <w:bookmarkEnd w:id="4"/>
      <w:bookmarkEnd w:id="5"/>
    </w:p>
    <w:p w14:paraId="514B4C22" w14:textId="77777777" w:rsidR="0033454E" w:rsidRPr="00E95C2D" w:rsidRDefault="0033454E" w:rsidP="0033454E">
      <w:pPr>
        <w:pStyle w:val="Heading3"/>
        <w:rPr>
          <w:i/>
        </w:rPr>
      </w:pPr>
      <w:bookmarkStart w:id="6" w:name="_Toc403992424"/>
      <w:r w:rsidRPr="00E95C2D">
        <w:t>Newly expressed proteins</w:t>
      </w:r>
      <w:bookmarkEnd w:id="6"/>
    </w:p>
    <w:p w14:paraId="50B48F77" w14:textId="77777777" w:rsidR="0033454E" w:rsidRPr="00CA20B3" w:rsidRDefault="0033454E" w:rsidP="0033454E">
      <w:pPr>
        <w:pStyle w:val="BodyText"/>
        <w:rPr>
          <w:rFonts w:cs="Arial"/>
          <w:color w:val="000000" w:themeColor="text1"/>
          <w:szCs w:val="22"/>
        </w:rPr>
      </w:pPr>
      <w:r w:rsidRPr="00E95C2D">
        <w:rPr>
          <w:rFonts w:eastAsia="Batang" w:cs="Arial"/>
          <w:color w:val="000000" w:themeColor="text1"/>
          <w:szCs w:val="22"/>
        </w:rPr>
        <w:t>MS11 expresses three novel proteins</w:t>
      </w:r>
      <w:r w:rsidRPr="00CA20B3">
        <w:rPr>
          <w:rFonts w:eastAsia="Batang" w:cs="Arial"/>
          <w:color w:val="000000" w:themeColor="text1"/>
          <w:szCs w:val="22"/>
        </w:rPr>
        <w:t>, PAT, Barnase and Barstar.</w:t>
      </w:r>
    </w:p>
    <w:p w14:paraId="39F09D46" w14:textId="4CAC7295"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CA20B3">
        <w:rPr>
          <w:rFonts w:ascii="CharterBT-Roman" w:hAnsi="CharterBT-Roman" w:cs="CharterBT-Roman"/>
          <w:color w:val="000000" w:themeColor="text1"/>
          <w:szCs w:val="22"/>
          <w:lang w:eastAsia="en-GB" w:bidi="ar-SA"/>
        </w:rPr>
        <w:t xml:space="preserve">Mean levels of all proteins in the edible part (i.e. seed) were below or close to the </w:t>
      </w:r>
      <w:r w:rsidR="007D76F3">
        <w:rPr>
          <w:rFonts w:ascii="CharterBT-Roman" w:hAnsi="CharterBT-Roman" w:cs="CharterBT-Roman"/>
          <w:color w:val="000000" w:themeColor="text1"/>
          <w:szCs w:val="22"/>
          <w:lang w:eastAsia="en-GB" w:bidi="ar-SA"/>
        </w:rPr>
        <w:t>Limit of Quantification (</w:t>
      </w:r>
      <w:r w:rsidRPr="00CA20B3">
        <w:rPr>
          <w:rFonts w:ascii="CharterBT-Roman" w:hAnsi="CharterBT-Roman" w:cs="CharterBT-Roman"/>
          <w:color w:val="000000" w:themeColor="text1"/>
          <w:szCs w:val="22"/>
          <w:lang w:eastAsia="en-GB" w:bidi="ar-SA"/>
        </w:rPr>
        <w:t>LOQ</w:t>
      </w:r>
      <w:r w:rsidR="007D76F3">
        <w:rPr>
          <w:rFonts w:ascii="CharterBT-Roman" w:hAnsi="CharterBT-Roman" w:cs="CharterBT-Roman"/>
          <w:color w:val="000000" w:themeColor="text1"/>
          <w:szCs w:val="22"/>
          <w:lang w:eastAsia="en-GB" w:bidi="ar-SA"/>
        </w:rPr>
        <w:t>)</w:t>
      </w:r>
      <w:r w:rsidRPr="00CA20B3">
        <w:rPr>
          <w:rFonts w:ascii="CharterBT-Roman" w:hAnsi="CharterBT-Roman" w:cs="CharterBT-Roman"/>
          <w:color w:val="000000" w:themeColor="text1"/>
          <w:szCs w:val="22"/>
          <w:lang w:eastAsia="en-GB" w:bidi="ar-SA"/>
        </w:rPr>
        <w:t>. The mean level of PAT protein was highest in whole plants sampled at the 3 – 5 leaf stage, while lowest values were obtained in</w:t>
      </w:r>
      <w:r>
        <w:rPr>
          <w:rFonts w:ascii="CharterBT-Roman" w:hAnsi="CharterBT-Roman" w:cs="CharterBT-Roman"/>
          <w:color w:val="000000" w:themeColor="text1"/>
          <w:szCs w:val="22"/>
          <w:lang w:eastAsia="en-GB" w:bidi="ar-SA"/>
        </w:rPr>
        <w:t xml:space="preserve"> root and seed samples</w:t>
      </w:r>
      <w:r w:rsidRPr="00CA20B3">
        <w:rPr>
          <w:rFonts w:ascii="CharterBT-Roman" w:hAnsi="CharterBT-Roman" w:cs="CharterBT-Roman"/>
          <w:color w:val="000000" w:themeColor="text1"/>
          <w:szCs w:val="22"/>
          <w:lang w:eastAsia="en-GB" w:bidi="ar-SA"/>
        </w:rPr>
        <w:t>. The Barnase protein was below the LOQ in all samples tested. Levels of Barstar in all tissues were either be</w:t>
      </w:r>
      <w:r>
        <w:rPr>
          <w:rFonts w:ascii="CharterBT-Roman" w:hAnsi="CharterBT-Roman" w:cs="CharterBT-Roman"/>
          <w:color w:val="000000" w:themeColor="text1"/>
          <w:szCs w:val="22"/>
          <w:lang w:eastAsia="en-GB" w:bidi="ar-SA"/>
        </w:rPr>
        <w:t>low the LOQ or very low; r</w:t>
      </w:r>
      <w:r w:rsidRPr="00CA20B3">
        <w:rPr>
          <w:rFonts w:ascii="CharterBT-Roman" w:hAnsi="CharterBT-Roman" w:cs="CharterBT-Roman"/>
          <w:color w:val="000000" w:themeColor="text1"/>
          <w:szCs w:val="22"/>
          <w:lang w:eastAsia="en-GB" w:bidi="ar-SA"/>
        </w:rPr>
        <w:t>oots marginally appeared to have the highest mean level.</w:t>
      </w:r>
    </w:p>
    <w:p w14:paraId="5ECE667C" w14:textId="77777777"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2F3E9E01" w14:textId="77777777" w:rsidR="0033454E" w:rsidRPr="00CA20B3" w:rsidRDefault="0033454E" w:rsidP="0033454E">
      <w:pPr>
        <w:rPr>
          <w:rFonts w:cs="Arial"/>
          <w:color w:val="000000" w:themeColor="text1"/>
          <w:szCs w:val="22"/>
          <w:lang w:val="en-US"/>
        </w:rPr>
      </w:pPr>
      <w:r w:rsidRPr="00CA20B3">
        <w:rPr>
          <w:rFonts w:cs="Arial"/>
          <w:color w:val="000000" w:themeColor="text1"/>
          <w:szCs w:val="22"/>
          <w:lang w:val="en-US"/>
        </w:rPr>
        <w:t xml:space="preserve">A number of studies were used </w:t>
      </w:r>
      <w:r w:rsidRPr="00CA20B3">
        <w:rPr>
          <w:rFonts w:cs="Arial"/>
          <w:color w:val="000000" w:themeColor="text1"/>
          <w:szCs w:val="22"/>
        </w:rPr>
        <w:t xml:space="preserve">to confirm the identity and physicochemical properties of the plant-derived PAT protein. These studies </w:t>
      </w:r>
      <w:r w:rsidRPr="00CA20B3">
        <w:rPr>
          <w:rFonts w:cs="Arial"/>
          <w:color w:val="000000" w:themeColor="text1"/>
          <w:szCs w:val="22"/>
          <w:lang w:val="en-US"/>
        </w:rPr>
        <w:t>demonstrated that the protein conforms in size, amino acid sequence and activity to that expected, and does not exhibit any post-translational modification including glycosylation.</w:t>
      </w:r>
    </w:p>
    <w:p w14:paraId="104068FA" w14:textId="45BD0A2D" w:rsidR="001D7BFA" w:rsidRDefault="001D7BFA" w:rsidP="0033454E">
      <w:pPr>
        <w:widowControl/>
        <w:autoSpaceDE w:val="0"/>
        <w:autoSpaceDN w:val="0"/>
        <w:adjustRightInd w:val="0"/>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br w:type="page"/>
      </w:r>
    </w:p>
    <w:p w14:paraId="120805C8" w14:textId="77777777" w:rsidR="0033454E" w:rsidRPr="00CA20B3" w:rsidRDefault="0033454E" w:rsidP="0033454E">
      <w:pPr>
        <w:pStyle w:val="BodyText"/>
        <w:spacing w:after="0"/>
        <w:rPr>
          <w:rFonts w:cs="Arial"/>
          <w:color w:val="000000" w:themeColor="text1"/>
          <w:szCs w:val="22"/>
        </w:rPr>
      </w:pPr>
      <w:r w:rsidRPr="00CA20B3">
        <w:rPr>
          <w:rFonts w:cs="Arial"/>
          <w:color w:val="000000" w:themeColor="text1"/>
          <w:szCs w:val="22"/>
        </w:rPr>
        <w:lastRenderedPageBreak/>
        <w:t>Very low yields of the plant-produced Barnase and Barstar proteins precluded their specific characterisation. However the weight of evidence, provided by a) translation of the known DNA sequences of the two genes introduced into MS11, b) the fact that the proteins function as predicted in the plant and c) the detailed characterisation of equivalent microbially-produced proteins is sufficient to confirm the identity of the proteins expressed in MS11.</w:t>
      </w:r>
    </w:p>
    <w:p w14:paraId="58D27DA8" w14:textId="77777777" w:rsidR="0033454E" w:rsidRPr="00CA20B3" w:rsidRDefault="0033454E" w:rsidP="0033454E">
      <w:pPr>
        <w:pStyle w:val="BodyText"/>
        <w:spacing w:after="0"/>
        <w:rPr>
          <w:rFonts w:cs="Arial"/>
          <w:color w:val="000000" w:themeColor="text1"/>
          <w:szCs w:val="22"/>
        </w:rPr>
      </w:pPr>
    </w:p>
    <w:p w14:paraId="1E2B721F" w14:textId="77777777" w:rsidR="0033454E" w:rsidRPr="00CA20B3" w:rsidRDefault="0033454E" w:rsidP="0033454E">
      <w:pPr>
        <w:pStyle w:val="BodyText"/>
        <w:spacing w:after="0"/>
        <w:rPr>
          <w:rFonts w:cs="Arial"/>
          <w:color w:val="000000" w:themeColor="text1"/>
          <w:szCs w:val="22"/>
        </w:rPr>
      </w:pPr>
      <w:r w:rsidRPr="00CA20B3">
        <w:rPr>
          <w:rFonts w:cs="Arial"/>
          <w:color w:val="000000" w:themeColor="text1"/>
          <w:szCs w:val="22"/>
        </w:rPr>
        <w:t>For all three proteins, bioinformatic studies confirmed the lack of any significant amino acid sequence similarity to know protein toxins or allergens; digestibility studies suggest the proteins would be rapidly degraded in the gastro-intestinal tract following ingestion; and thermolability studies indicate the three proteins are functionally inactivated following heating.</w:t>
      </w:r>
    </w:p>
    <w:p w14:paraId="03C5CBCF" w14:textId="77777777" w:rsidR="0033454E" w:rsidRPr="00CA20B3" w:rsidRDefault="0033454E" w:rsidP="0033454E">
      <w:pPr>
        <w:rPr>
          <w:rFonts w:cs="Arial"/>
          <w:color w:val="000000" w:themeColor="text1"/>
          <w:szCs w:val="22"/>
        </w:rPr>
      </w:pPr>
    </w:p>
    <w:p w14:paraId="682B0909" w14:textId="54A8F3FB" w:rsidR="0033454E" w:rsidRPr="00CA3AF5" w:rsidRDefault="0033454E" w:rsidP="001D7BFA">
      <w:pPr>
        <w:rPr>
          <w:rFonts w:cs="Arial"/>
          <w:i/>
          <w:color w:val="000000" w:themeColor="text1"/>
          <w:szCs w:val="22"/>
        </w:rPr>
      </w:pPr>
      <w:r w:rsidRPr="00CA20B3">
        <w:rPr>
          <w:rFonts w:cs="Arial"/>
          <w:color w:val="000000" w:themeColor="text1"/>
          <w:szCs w:val="22"/>
        </w:rPr>
        <w:t xml:space="preserve">Taken together, the evidence indicates that should PAT, Barnase or Barstar be present in </w:t>
      </w:r>
      <w:r w:rsidRPr="00CA3AF5">
        <w:rPr>
          <w:rFonts w:cs="Arial"/>
          <w:color w:val="000000" w:themeColor="text1"/>
          <w:szCs w:val="22"/>
        </w:rPr>
        <w:t>the diet they are unlikely to be toxic or allergenic in humans.</w:t>
      </w:r>
    </w:p>
    <w:p w14:paraId="560699D3" w14:textId="77777777" w:rsidR="0033454E" w:rsidRDefault="0033454E" w:rsidP="001D7BFA">
      <w:pPr>
        <w:pStyle w:val="Heading3"/>
      </w:pPr>
      <w:r w:rsidRPr="00CA3AF5">
        <w:t xml:space="preserve">Herbicide </w:t>
      </w:r>
      <w:r w:rsidRPr="00E95C2D">
        <w:t>metabolites</w:t>
      </w:r>
    </w:p>
    <w:p w14:paraId="564821A5" w14:textId="77777777" w:rsidR="0033454E" w:rsidRPr="00541691" w:rsidRDefault="0033454E" w:rsidP="001D7BFA">
      <w:pPr>
        <w:autoSpaceDE w:val="0"/>
        <w:autoSpaceDN w:val="0"/>
        <w:adjustRightInd w:val="0"/>
        <w:ind w:right="-286"/>
        <w:rPr>
          <w:rFonts w:cs="Arial"/>
          <w:color w:val="000000" w:themeColor="text1"/>
          <w:szCs w:val="22"/>
        </w:rPr>
      </w:pPr>
      <w:r>
        <w:rPr>
          <w:rFonts w:cs="Arial"/>
          <w:color w:val="000000" w:themeColor="text1"/>
          <w:szCs w:val="22"/>
        </w:rPr>
        <w:t xml:space="preserve">For </w:t>
      </w:r>
      <w:r w:rsidRPr="00D82794">
        <w:rPr>
          <w:rFonts w:cs="Arial"/>
          <w:color w:val="000000" w:themeColor="text1"/>
          <w:szCs w:val="22"/>
        </w:rPr>
        <w:t xml:space="preserve">PAT, the metabolic profiles resulting from the novel protein x herbicide interaction have been established through a significant history of use. </w:t>
      </w:r>
      <w:r>
        <w:rPr>
          <w:rFonts w:cs="Arial"/>
          <w:color w:val="000000" w:themeColor="text1"/>
          <w:szCs w:val="22"/>
        </w:rPr>
        <w:t xml:space="preserve">The glufosinate-tolerance trait is present in lines </w:t>
      </w:r>
      <w:r w:rsidRPr="00CA20B3">
        <w:rPr>
          <w:rFonts w:cs="Arial"/>
          <w:color w:val="000000" w:themeColor="text1"/>
          <w:szCs w:val="22"/>
        </w:rPr>
        <w:t>from 22</w:t>
      </w:r>
      <w:r w:rsidRPr="007950C1">
        <w:rPr>
          <w:rFonts w:cs="Arial"/>
          <w:color w:val="000000" w:themeColor="text1"/>
          <w:szCs w:val="22"/>
        </w:rPr>
        <w:t xml:space="preserve"> previous</w:t>
      </w:r>
      <w:r>
        <w:rPr>
          <w:rFonts w:cs="Arial"/>
          <w:color w:val="000000" w:themeColor="text1"/>
          <w:szCs w:val="22"/>
        </w:rPr>
        <w:t xml:space="preserve"> applications to FSANZ</w:t>
      </w:r>
      <w:r w:rsidRPr="008C5A0D">
        <w:rPr>
          <w:rFonts w:cs="Arial"/>
          <w:color w:val="000000" w:themeColor="text1"/>
          <w:szCs w:val="22"/>
        </w:rPr>
        <w:t xml:space="preserve">. </w:t>
      </w:r>
      <w:r w:rsidRPr="00D82794">
        <w:rPr>
          <w:rFonts w:cs="Arial"/>
          <w:color w:val="000000" w:themeColor="text1"/>
          <w:szCs w:val="22"/>
        </w:rPr>
        <w:t>There are no concerns that</w:t>
      </w:r>
      <w:r>
        <w:rPr>
          <w:rFonts w:cs="Arial"/>
          <w:color w:val="000000" w:themeColor="text1"/>
          <w:szCs w:val="22"/>
        </w:rPr>
        <w:t xml:space="preserve"> the spraying of MS11</w:t>
      </w:r>
      <w:r w:rsidRPr="00D82794">
        <w:rPr>
          <w:rFonts w:cs="Arial"/>
          <w:color w:val="000000" w:themeColor="text1"/>
          <w:szCs w:val="22"/>
        </w:rPr>
        <w:t xml:space="preserve"> with glufosinate ammonium would result in the </w:t>
      </w:r>
      <w:r w:rsidRPr="00BC1EE8">
        <w:rPr>
          <w:rFonts w:cs="Arial"/>
          <w:color w:val="000000" w:themeColor="text1"/>
          <w:szCs w:val="22"/>
        </w:rPr>
        <w:t>production of metabolites that are not also produced in crops sprayed with the same herbi</w:t>
      </w:r>
      <w:r>
        <w:rPr>
          <w:rFonts w:cs="Arial"/>
          <w:color w:val="000000" w:themeColor="text1"/>
          <w:szCs w:val="22"/>
        </w:rPr>
        <w:t>cide</w:t>
      </w:r>
      <w:r w:rsidRPr="00BC1EE8">
        <w:rPr>
          <w:rFonts w:cs="Arial"/>
          <w:color w:val="000000" w:themeColor="text1"/>
          <w:szCs w:val="22"/>
        </w:rPr>
        <w:t xml:space="preserve"> and a</w:t>
      </w:r>
      <w:r>
        <w:rPr>
          <w:rFonts w:cs="Arial"/>
          <w:color w:val="000000" w:themeColor="text1"/>
          <w:szCs w:val="22"/>
        </w:rPr>
        <w:t xml:space="preserve">lready used in the </w:t>
      </w:r>
      <w:r w:rsidRPr="00541691">
        <w:rPr>
          <w:rFonts w:cs="Arial"/>
          <w:color w:val="000000" w:themeColor="text1"/>
          <w:szCs w:val="22"/>
        </w:rPr>
        <w:t>food supply.</w:t>
      </w:r>
    </w:p>
    <w:p w14:paraId="283FA9A9" w14:textId="77777777" w:rsidR="0033454E" w:rsidRPr="00541691" w:rsidRDefault="0033454E" w:rsidP="0033454E">
      <w:pPr>
        <w:pStyle w:val="Heading2"/>
        <w:rPr>
          <w:color w:val="000000" w:themeColor="text1"/>
        </w:rPr>
      </w:pPr>
      <w:bookmarkStart w:id="7" w:name="_Toc481491418"/>
      <w:r w:rsidRPr="00541691">
        <w:rPr>
          <w:color w:val="000000" w:themeColor="text1"/>
        </w:rPr>
        <w:t>Compositional analyses</w:t>
      </w:r>
      <w:bookmarkEnd w:id="7"/>
    </w:p>
    <w:p w14:paraId="2D5C6F65" w14:textId="77777777" w:rsidR="0033454E" w:rsidRPr="00614580" w:rsidRDefault="0033454E" w:rsidP="0033454E">
      <w:pPr>
        <w:widowControl/>
        <w:autoSpaceDE w:val="0"/>
        <w:autoSpaceDN w:val="0"/>
        <w:adjustRightInd w:val="0"/>
        <w:rPr>
          <w:rFonts w:cs="Arial"/>
          <w:bCs/>
          <w:color w:val="000000" w:themeColor="text1"/>
          <w:szCs w:val="22"/>
        </w:rPr>
      </w:pPr>
      <w:r w:rsidRPr="008C29A2">
        <w:rPr>
          <w:color w:val="000000" w:themeColor="text1"/>
        </w:rPr>
        <w:t xml:space="preserve">Detailed compositional analyses were done to establish the nutritional adequacy of seed from MS11 and to characterise any unintended compositional changes. </w:t>
      </w:r>
      <w:r w:rsidRPr="008C29A2">
        <w:rPr>
          <w:rFonts w:cs="Arial"/>
          <w:color w:val="000000" w:themeColor="text1"/>
          <w:szCs w:val="22"/>
          <w:lang w:eastAsia="en-GB" w:bidi="ar-SA"/>
        </w:rPr>
        <w:t xml:space="preserve">Seed samples were analysed for proximates, fibre, fatty acids, amino acids, minerals, vitamins, anti-nutrients </w:t>
      </w:r>
      <w:r w:rsidRPr="00614580">
        <w:rPr>
          <w:rFonts w:cs="Arial"/>
          <w:color w:val="000000" w:themeColor="text1"/>
          <w:szCs w:val="22"/>
          <w:lang w:eastAsia="en-GB" w:bidi="ar-SA"/>
        </w:rPr>
        <w:t xml:space="preserve">(phytic acid, tannins and sinapine) and glucosinolates. </w:t>
      </w:r>
      <w:r w:rsidRPr="00614580">
        <w:rPr>
          <w:rFonts w:cs="Arial"/>
          <w:color w:val="000000" w:themeColor="text1"/>
          <w:szCs w:val="22"/>
        </w:rPr>
        <w:t>In total, 87 analytes were considered of which 30 had negligible levels that precluded inclusion in a statistical analysis.</w:t>
      </w:r>
    </w:p>
    <w:p w14:paraId="4E2A359B" w14:textId="77777777" w:rsidR="0033454E" w:rsidRPr="00614580" w:rsidRDefault="0033454E" w:rsidP="0033454E">
      <w:pPr>
        <w:widowControl/>
        <w:autoSpaceDE w:val="0"/>
        <w:autoSpaceDN w:val="0"/>
        <w:adjustRightInd w:val="0"/>
        <w:rPr>
          <w:rFonts w:cs="Arial"/>
          <w:color w:val="000000" w:themeColor="text1"/>
          <w:szCs w:val="22"/>
          <w:lang w:eastAsia="en-GB" w:bidi="ar-SA"/>
        </w:rPr>
      </w:pPr>
    </w:p>
    <w:p w14:paraId="445752D3" w14:textId="77777777" w:rsidR="0033454E" w:rsidRPr="00614580" w:rsidRDefault="0033454E" w:rsidP="0033454E">
      <w:pPr>
        <w:widowControl/>
        <w:autoSpaceDE w:val="0"/>
        <w:autoSpaceDN w:val="0"/>
        <w:adjustRightInd w:val="0"/>
        <w:rPr>
          <w:color w:val="000000" w:themeColor="text1"/>
        </w:rPr>
      </w:pPr>
      <w:r w:rsidRPr="00614580">
        <w:rPr>
          <w:color w:val="000000" w:themeColor="text1"/>
        </w:rPr>
        <w:t xml:space="preserve">The levels of each analyte from glufosinate-sprayed and unsprayed MS11 were compared to levels in: a) the non-GM parental line, N90-740, b) six non-GM commercial reference lines and c) levels recorded in the literature. </w:t>
      </w:r>
    </w:p>
    <w:p w14:paraId="6511487C" w14:textId="77777777" w:rsidR="0033454E" w:rsidRPr="00614580" w:rsidRDefault="0033454E" w:rsidP="0033454E">
      <w:pPr>
        <w:widowControl/>
        <w:autoSpaceDE w:val="0"/>
        <w:autoSpaceDN w:val="0"/>
        <w:adjustRightInd w:val="0"/>
        <w:rPr>
          <w:color w:val="000000" w:themeColor="text1"/>
        </w:rPr>
      </w:pPr>
    </w:p>
    <w:p w14:paraId="6316A319" w14:textId="77777777" w:rsidR="0033454E" w:rsidRPr="00614580" w:rsidRDefault="0033454E" w:rsidP="0033454E">
      <w:pPr>
        <w:widowControl/>
        <w:autoSpaceDE w:val="0"/>
        <w:autoSpaceDN w:val="0"/>
        <w:adjustRightInd w:val="0"/>
        <w:rPr>
          <w:rFonts w:cs="Arial"/>
          <w:color w:val="000000" w:themeColor="text1"/>
          <w:szCs w:val="22"/>
        </w:rPr>
      </w:pPr>
      <w:r w:rsidRPr="00614580">
        <w:rPr>
          <w:color w:val="000000" w:themeColor="text1"/>
        </w:rPr>
        <w:t xml:space="preserve">Of the 57 analytes considered, </w:t>
      </w:r>
      <w:r w:rsidRPr="00614580">
        <w:rPr>
          <w:rFonts w:cs="Arial"/>
          <w:color w:val="000000" w:themeColor="text1"/>
          <w:szCs w:val="22"/>
        </w:rPr>
        <w:t xml:space="preserve">only two – gluconapin and insoluble tannins - were significantly different in a comparison between unsprayed MS11 and the control. In both instances, the levels fell within the 95% tolerance interval generated from the reference lines. </w:t>
      </w:r>
    </w:p>
    <w:p w14:paraId="767BDF0E" w14:textId="77777777" w:rsidR="0033454E" w:rsidRPr="00614580" w:rsidRDefault="0033454E" w:rsidP="0033454E">
      <w:pPr>
        <w:widowControl/>
        <w:autoSpaceDE w:val="0"/>
        <w:autoSpaceDN w:val="0"/>
        <w:adjustRightInd w:val="0"/>
        <w:rPr>
          <w:rFonts w:cs="Arial"/>
          <w:color w:val="000000" w:themeColor="text1"/>
          <w:szCs w:val="22"/>
        </w:rPr>
      </w:pPr>
    </w:p>
    <w:p w14:paraId="09290849" w14:textId="77777777" w:rsidR="0033454E" w:rsidRDefault="0033454E" w:rsidP="0033454E">
      <w:pPr>
        <w:widowControl/>
        <w:autoSpaceDE w:val="0"/>
        <w:autoSpaceDN w:val="0"/>
        <w:adjustRightInd w:val="0"/>
        <w:rPr>
          <w:rFonts w:cs="Arial"/>
          <w:color w:val="000000" w:themeColor="text1"/>
          <w:szCs w:val="22"/>
        </w:rPr>
      </w:pPr>
      <w:r w:rsidRPr="00614580">
        <w:rPr>
          <w:rFonts w:cs="Arial"/>
          <w:color w:val="000000" w:themeColor="text1"/>
          <w:szCs w:val="22"/>
        </w:rPr>
        <w:t xml:space="preserve">In contrast to this, in the comparison of analytes between </w:t>
      </w:r>
      <w:r>
        <w:rPr>
          <w:rFonts w:cs="Arial"/>
          <w:color w:val="000000" w:themeColor="text1"/>
          <w:szCs w:val="22"/>
        </w:rPr>
        <w:t>sprayed MS11 and the control, 31</w:t>
      </w:r>
      <w:r w:rsidRPr="00614580">
        <w:rPr>
          <w:rFonts w:cs="Arial"/>
          <w:color w:val="000000" w:themeColor="text1"/>
          <w:szCs w:val="22"/>
        </w:rPr>
        <w:t xml:space="preserve"> analytes were significantly different - most being higher in MS11 than in the control. </w:t>
      </w:r>
      <w:r>
        <w:rPr>
          <w:rFonts w:cs="Arial"/>
          <w:color w:val="000000" w:themeColor="text1"/>
          <w:szCs w:val="22"/>
        </w:rPr>
        <w:t>It was expected there would be little consistency in analyte levels between the seeds from sprayed and unsprayed MS11 because of the different pollen sources used to fertilise the sprayed MS11 plants. However, in all cases the</w:t>
      </w:r>
      <w:r w:rsidRPr="00614580">
        <w:rPr>
          <w:rFonts w:cs="Arial"/>
          <w:color w:val="000000" w:themeColor="text1"/>
          <w:szCs w:val="22"/>
        </w:rPr>
        <w:t xml:space="preserve"> levels </w:t>
      </w:r>
      <w:r>
        <w:rPr>
          <w:rFonts w:cs="Arial"/>
          <w:color w:val="000000" w:themeColor="text1"/>
          <w:szCs w:val="22"/>
        </w:rPr>
        <w:t xml:space="preserve">in the sprayed MS11 seed </w:t>
      </w:r>
      <w:r w:rsidRPr="00614580">
        <w:rPr>
          <w:rFonts w:cs="Arial"/>
          <w:color w:val="000000" w:themeColor="text1"/>
          <w:szCs w:val="22"/>
        </w:rPr>
        <w:t>were within the tolerance interval</w:t>
      </w:r>
      <w:r>
        <w:rPr>
          <w:rFonts w:cs="Arial"/>
          <w:color w:val="000000" w:themeColor="text1"/>
          <w:szCs w:val="22"/>
        </w:rPr>
        <w:t>. I</w:t>
      </w:r>
      <w:r w:rsidRPr="00614580">
        <w:rPr>
          <w:rFonts w:cs="Arial"/>
          <w:color w:val="000000" w:themeColor="text1"/>
          <w:szCs w:val="22"/>
        </w:rPr>
        <w:t>n six instances</w:t>
      </w:r>
      <w:r>
        <w:rPr>
          <w:rFonts w:cs="Arial"/>
          <w:color w:val="000000" w:themeColor="text1"/>
          <w:szCs w:val="22"/>
        </w:rPr>
        <w:t xml:space="preserve"> the levels exceeded</w:t>
      </w:r>
      <w:r w:rsidRPr="00614580">
        <w:rPr>
          <w:rFonts w:cs="Arial"/>
          <w:color w:val="000000" w:themeColor="text1"/>
          <w:szCs w:val="22"/>
        </w:rPr>
        <w:t xml:space="preserve"> the literature range - but in four of these, the levels in the non-GM control were also higher than the literature range.</w:t>
      </w:r>
    </w:p>
    <w:p w14:paraId="062F9717" w14:textId="77777777" w:rsidR="0033454E" w:rsidRPr="00614580" w:rsidRDefault="0033454E" w:rsidP="0033454E">
      <w:pPr>
        <w:widowControl/>
        <w:autoSpaceDE w:val="0"/>
        <w:autoSpaceDN w:val="0"/>
        <w:adjustRightInd w:val="0"/>
        <w:rPr>
          <w:rFonts w:cs="Arial"/>
          <w:color w:val="000000" w:themeColor="text1"/>
          <w:szCs w:val="22"/>
        </w:rPr>
      </w:pPr>
    </w:p>
    <w:p w14:paraId="28398245" w14:textId="532DF72B" w:rsidR="00B64DEE" w:rsidRDefault="0033454E" w:rsidP="00AD4317">
      <w:pPr>
        <w:widowControl/>
        <w:autoSpaceDE w:val="0"/>
        <w:autoSpaceDN w:val="0"/>
        <w:adjustRightInd w:val="0"/>
        <w:ind w:right="-286"/>
        <w:rPr>
          <w:rFonts w:eastAsiaTheme="majorEastAsia" w:cs="Arial"/>
          <w:b/>
          <w:bCs/>
          <w:color w:val="000000" w:themeColor="text1"/>
          <w:sz w:val="28"/>
          <w:szCs w:val="22"/>
          <w:lang w:bidi="ar-SA"/>
        </w:rPr>
      </w:pPr>
      <w:r>
        <w:rPr>
          <w:rFonts w:cs="Arial"/>
          <w:color w:val="000000" w:themeColor="text1"/>
          <w:szCs w:val="22"/>
        </w:rPr>
        <w:t>The conclusion is that seed from MS11, whether from unsprayed MS11 plants or plants sprayed with glufosinate is compositionally equivalent to seed from conventional canola varieties.</w:t>
      </w:r>
    </w:p>
    <w:p w14:paraId="7A7AF2E7" w14:textId="536802A8" w:rsidR="0033454E" w:rsidRPr="00DD663F" w:rsidRDefault="0033454E" w:rsidP="0033454E">
      <w:pPr>
        <w:pStyle w:val="Heading2"/>
        <w:rPr>
          <w:color w:val="000000" w:themeColor="text1"/>
        </w:rPr>
      </w:pPr>
      <w:bookmarkStart w:id="8" w:name="_Toc481491419"/>
      <w:r w:rsidRPr="00DD663F">
        <w:rPr>
          <w:color w:val="000000" w:themeColor="text1"/>
        </w:rPr>
        <w:t>Conclusion</w:t>
      </w:r>
      <w:bookmarkEnd w:id="8"/>
    </w:p>
    <w:p w14:paraId="59C58D97" w14:textId="77777777" w:rsidR="0033454E" w:rsidRPr="00DD663F" w:rsidRDefault="0033454E" w:rsidP="0033454E">
      <w:pPr>
        <w:rPr>
          <w:color w:val="000000" w:themeColor="text1"/>
        </w:rPr>
      </w:pPr>
      <w:r w:rsidRPr="00DD663F">
        <w:rPr>
          <w:color w:val="000000" w:themeColor="text1"/>
        </w:rPr>
        <w:t>No potential public health and safety concerns have been identified in the assessment of MS11. On the basis of the data provided in the present Application, and other available information, food derived from MS11 is considered to be as safe for human consumption as food derived from conventional canola varieties.</w:t>
      </w:r>
    </w:p>
    <w:p w14:paraId="0AD5B57F" w14:textId="77777777" w:rsidR="0033454E" w:rsidRPr="001B5342" w:rsidRDefault="0033454E" w:rsidP="0033454E">
      <w:pPr>
        <w:pStyle w:val="FSCh2Part"/>
        <w:ind w:left="709" w:hanging="709"/>
        <w:rPr>
          <w:color w:val="FF0000"/>
        </w:rPr>
        <w:sectPr w:rsidR="0033454E" w:rsidRPr="001B5342" w:rsidSect="00B20711">
          <w:footerReference w:type="even" r:id="rId14"/>
          <w:footerReference w:type="default" r:id="rId15"/>
          <w:headerReference w:type="first" r:id="rId16"/>
          <w:pgSz w:w="11906" w:h="16838"/>
          <w:pgMar w:top="1418" w:right="1418" w:bottom="1418" w:left="1418" w:header="709" w:footer="709" w:gutter="0"/>
          <w:pgNumType w:fmt="lowerRoman"/>
          <w:cols w:space="708"/>
          <w:docGrid w:linePitch="360"/>
        </w:sectPr>
      </w:pPr>
    </w:p>
    <w:sdt>
      <w:sdtPr>
        <w:rPr>
          <w:rFonts w:eastAsia="Times New Roman" w:cstheme="minorHAnsi"/>
          <w:b w:val="0"/>
          <w:bCs w:val="0"/>
          <w:caps/>
          <w:color w:val="000000" w:themeColor="text1"/>
          <w:sz w:val="22"/>
          <w:szCs w:val="24"/>
          <w:lang w:bidi="en-US"/>
        </w:rPr>
        <w:id w:val="-283736210"/>
        <w:docPartObj>
          <w:docPartGallery w:val="Table of Contents"/>
          <w:docPartUnique/>
        </w:docPartObj>
      </w:sdtPr>
      <w:sdtEndPr>
        <w:rPr>
          <w:b/>
          <w:bCs/>
          <w:noProof/>
          <w:szCs w:val="20"/>
        </w:rPr>
      </w:sdtEndPr>
      <w:sdtContent>
        <w:p w14:paraId="43A0823B" w14:textId="77777777" w:rsidR="0033454E" w:rsidRPr="00CA3AF5" w:rsidRDefault="0033454E">
          <w:pPr>
            <w:pStyle w:val="TOCHeading"/>
            <w:rPr>
              <w:color w:val="000000" w:themeColor="text1"/>
              <w:sz w:val="28"/>
            </w:rPr>
          </w:pPr>
          <w:r w:rsidRPr="00CA3AF5">
            <w:rPr>
              <w:color w:val="000000" w:themeColor="text1"/>
              <w:sz w:val="28"/>
            </w:rPr>
            <w:t>Table of Contents</w:t>
          </w:r>
        </w:p>
        <w:p w14:paraId="3D02026C" w14:textId="5815B67C" w:rsidR="00C1415B" w:rsidRDefault="0033454E">
          <w:pPr>
            <w:pStyle w:val="TOC1"/>
            <w:rPr>
              <w:rFonts w:asciiTheme="minorHAnsi" w:eastAsiaTheme="minorEastAsia" w:hAnsiTheme="minorHAnsi" w:cstheme="minorBidi"/>
              <w:b w:val="0"/>
              <w:bCs w:val="0"/>
              <w:caps w:val="0"/>
              <w:noProof/>
              <w:szCs w:val="22"/>
              <w:lang w:eastAsia="en-GB" w:bidi="ar-SA"/>
            </w:rPr>
          </w:pPr>
          <w:r w:rsidRPr="00CA3AF5">
            <w:rPr>
              <w:rFonts w:asciiTheme="minorHAnsi" w:hAnsiTheme="minorHAnsi"/>
              <w:color w:val="000000" w:themeColor="text1"/>
              <w:sz w:val="20"/>
            </w:rPr>
            <w:fldChar w:fldCharType="begin"/>
          </w:r>
          <w:r w:rsidRPr="00CA3AF5">
            <w:rPr>
              <w:rFonts w:asciiTheme="minorHAnsi" w:hAnsiTheme="minorHAnsi"/>
              <w:color w:val="000000" w:themeColor="text1"/>
              <w:sz w:val="20"/>
            </w:rPr>
            <w:instrText xml:space="preserve"> TOC \o "1-2" \h \z \u </w:instrText>
          </w:r>
          <w:r w:rsidRPr="00CA3AF5">
            <w:rPr>
              <w:rFonts w:asciiTheme="minorHAnsi" w:hAnsiTheme="minorHAnsi"/>
              <w:color w:val="000000" w:themeColor="text1"/>
              <w:sz w:val="20"/>
            </w:rPr>
            <w:fldChar w:fldCharType="separate"/>
          </w:r>
          <w:hyperlink w:anchor="_Toc481491413" w:history="1">
            <w:r w:rsidR="00C1415B" w:rsidRPr="00D51487">
              <w:rPr>
                <w:rStyle w:val="Hyperlink"/>
                <w:noProof/>
              </w:rPr>
              <w:t>Executive summary</w:t>
            </w:r>
            <w:r w:rsidR="00C1415B">
              <w:rPr>
                <w:noProof/>
                <w:webHidden/>
              </w:rPr>
              <w:tab/>
            </w:r>
            <w:r w:rsidR="00C1415B">
              <w:rPr>
                <w:noProof/>
                <w:webHidden/>
              </w:rPr>
              <w:fldChar w:fldCharType="begin"/>
            </w:r>
            <w:r w:rsidR="00C1415B">
              <w:rPr>
                <w:noProof/>
                <w:webHidden/>
              </w:rPr>
              <w:instrText xml:space="preserve"> PAGEREF _Toc481491413 \h </w:instrText>
            </w:r>
            <w:r w:rsidR="00C1415B">
              <w:rPr>
                <w:noProof/>
                <w:webHidden/>
              </w:rPr>
            </w:r>
            <w:r w:rsidR="00C1415B">
              <w:rPr>
                <w:noProof/>
                <w:webHidden/>
              </w:rPr>
              <w:fldChar w:fldCharType="separate"/>
            </w:r>
            <w:r w:rsidR="00B20711">
              <w:rPr>
                <w:noProof/>
                <w:webHidden/>
              </w:rPr>
              <w:t>i</w:t>
            </w:r>
            <w:r w:rsidR="00C1415B">
              <w:rPr>
                <w:noProof/>
                <w:webHidden/>
              </w:rPr>
              <w:fldChar w:fldCharType="end"/>
            </w:r>
          </w:hyperlink>
        </w:p>
        <w:p w14:paraId="1123C626" w14:textId="25B22F82" w:rsidR="00C1415B" w:rsidRDefault="00EC65B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4" w:history="1">
            <w:r w:rsidR="00C1415B" w:rsidRPr="00D51487">
              <w:rPr>
                <w:rStyle w:val="Hyperlink"/>
                <w:noProof/>
              </w:rPr>
              <w:t>Background</w:t>
            </w:r>
            <w:r w:rsidR="00C1415B">
              <w:rPr>
                <w:noProof/>
                <w:webHidden/>
              </w:rPr>
              <w:tab/>
            </w:r>
            <w:r w:rsidR="00C1415B">
              <w:rPr>
                <w:noProof/>
                <w:webHidden/>
              </w:rPr>
              <w:fldChar w:fldCharType="begin"/>
            </w:r>
            <w:r w:rsidR="00C1415B">
              <w:rPr>
                <w:noProof/>
                <w:webHidden/>
              </w:rPr>
              <w:instrText xml:space="preserve"> PAGEREF _Toc481491414 \h </w:instrText>
            </w:r>
            <w:r w:rsidR="00C1415B">
              <w:rPr>
                <w:noProof/>
                <w:webHidden/>
              </w:rPr>
            </w:r>
            <w:r w:rsidR="00C1415B">
              <w:rPr>
                <w:noProof/>
                <w:webHidden/>
              </w:rPr>
              <w:fldChar w:fldCharType="separate"/>
            </w:r>
            <w:r w:rsidR="00B20711">
              <w:rPr>
                <w:noProof/>
                <w:webHidden/>
              </w:rPr>
              <w:t>i</w:t>
            </w:r>
            <w:r w:rsidR="00C1415B">
              <w:rPr>
                <w:noProof/>
                <w:webHidden/>
              </w:rPr>
              <w:fldChar w:fldCharType="end"/>
            </w:r>
          </w:hyperlink>
        </w:p>
        <w:p w14:paraId="24755C46" w14:textId="09D29D35" w:rsidR="00C1415B" w:rsidRDefault="00EC65B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5" w:history="1">
            <w:r w:rsidR="00C1415B" w:rsidRPr="00D51487">
              <w:rPr>
                <w:rStyle w:val="Hyperlink"/>
                <w:noProof/>
              </w:rPr>
              <w:t>History of use</w:t>
            </w:r>
            <w:r w:rsidR="00C1415B">
              <w:rPr>
                <w:noProof/>
                <w:webHidden/>
              </w:rPr>
              <w:tab/>
            </w:r>
            <w:r w:rsidR="00C1415B">
              <w:rPr>
                <w:noProof/>
                <w:webHidden/>
              </w:rPr>
              <w:fldChar w:fldCharType="begin"/>
            </w:r>
            <w:r w:rsidR="00C1415B">
              <w:rPr>
                <w:noProof/>
                <w:webHidden/>
              </w:rPr>
              <w:instrText xml:space="preserve"> PAGEREF _Toc481491415 \h </w:instrText>
            </w:r>
            <w:r w:rsidR="00C1415B">
              <w:rPr>
                <w:noProof/>
                <w:webHidden/>
              </w:rPr>
            </w:r>
            <w:r w:rsidR="00C1415B">
              <w:rPr>
                <w:noProof/>
                <w:webHidden/>
              </w:rPr>
              <w:fldChar w:fldCharType="separate"/>
            </w:r>
            <w:r w:rsidR="00B20711">
              <w:rPr>
                <w:noProof/>
                <w:webHidden/>
              </w:rPr>
              <w:t>ii</w:t>
            </w:r>
            <w:r w:rsidR="00C1415B">
              <w:rPr>
                <w:noProof/>
                <w:webHidden/>
              </w:rPr>
              <w:fldChar w:fldCharType="end"/>
            </w:r>
          </w:hyperlink>
        </w:p>
        <w:p w14:paraId="4561B34F" w14:textId="15BEB4BA" w:rsidR="00C1415B" w:rsidRDefault="00EC65B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6" w:history="1">
            <w:r w:rsidR="00C1415B" w:rsidRPr="00D51487">
              <w:rPr>
                <w:rStyle w:val="Hyperlink"/>
                <w:noProof/>
              </w:rPr>
              <w:t>Molecular characterisation</w:t>
            </w:r>
            <w:r w:rsidR="00C1415B">
              <w:rPr>
                <w:noProof/>
                <w:webHidden/>
              </w:rPr>
              <w:tab/>
            </w:r>
            <w:r w:rsidR="00C1415B">
              <w:rPr>
                <w:noProof/>
                <w:webHidden/>
              </w:rPr>
              <w:fldChar w:fldCharType="begin"/>
            </w:r>
            <w:r w:rsidR="00C1415B">
              <w:rPr>
                <w:noProof/>
                <w:webHidden/>
              </w:rPr>
              <w:instrText xml:space="preserve"> PAGEREF _Toc481491416 \h </w:instrText>
            </w:r>
            <w:r w:rsidR="00C1415B">
              <w:rPr>
                <w:noProof/>
                <w:webHidden/>
              </w:rPr>
            </w:r>
            <w:r w:rsidR="00C1415B">
              <w:rPr>
                <w:noProof/>
                <w:webHidden/>
              </w:rPr>
              <w:fldChar w:fldCharType="separate"/>
            </w:r>
            <w:r w:rsidR="00B20711">
              <w:rPr>
                <w:noProof/>
                <w:webHidden/>
              </w:rPr>
              <w:t>ii</w:t>
            </w:r>
            <w:r w:rsidR="00C1415B">
              <w:rPr>
                <w:noProof/>
                <w:webHidden/>
              </w:rPr>
              <w:fldChar w:fldCharType="end"/>
            </w:r>
          </w:hyperlink>
        </w:p>
        <w:p w14:paraId="5028BB49" w14:textId="7413A847" w:rsidR="00C1415B" w:rsidRDefault="00EC65B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7" w:history="1">
            <w:r w:rsidR="00C1415B" w:rsidRPr="00D51487">
              <w:rPr>
                <w:rStyle w:val="Hyperlink"/>
                <w:noProof/>
              </w:rPr>
              <w:t>Characterisation and safety assessment of new substances</w:t>
            </w:r>
            <w:r w:rsidR="00C1415B">
              <w:rPr>
                <w:noProof/>
                <w:webHidden/>
              </w:rPr>
              <w:tab/>
            </w:r>
            <w:r w:rsidR="00C1415B">
              <w:rPr>
                <w:noProof/>
                <w:webHidden/>
              </w:rPr>
              <w:fldChar w:fldCharType="begin"/>
            </w:r>
            <w:r w:rsidR="00C1415B">
              <w:rPr>
                <w:noProof/>
                <w:webHidden/>
              </w:rPr>
              <w:instrText xml:space="preserve"> PAGEREF _Toc481491417 \h </w:instrText>
            </w:r>
            <w:r w:rsidR="00C1415B">
              <w:rPr>
                <w:noProof/>
                <w:webHidden/>
              </w:rPr>
            </w:r>
            <w:r w:rsidR="00C1415B">
              <w:rPr>
                <w:noProof/>
                <w:webHidden/>
              </w:rPr>
              <w:fldChar w:fldCharType="separate"/>
            </w:r>
            <w:r w:rsidR="00B20711">
              <w:rPr>
                <w:noProof/>
                <w:webHidden/>
              </w:rPr>
              <w:t>ii</w:t>
            </w:r>
            <w:r w:rsidR="00C1415B">
              <w:rPr>
                <w:noProof/>
                <w:webHidden/>
              </w:rPr>
              <w:fldChar w:fldCharType="end"/>
            </w:r>
          </w:hyperlink>
        </w:p>
        <w:p w14:paraId="45A5B457" w14:textId="565B00D3" w:rsidR="00C1415B" w:rsidRDefault="00EC65B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8" w:history="1">
            <w:r w:rsidR="00C1415B" w:rsidRPr="00D51487">
              <w:rPr>
                <w:rStyle w:val="Hyperlink"/>
                <w:noProof/>
              </w:rPr>
              <w:t>Compositional analyses</w:t>
            </w:r>
            <w:r w:rsidR="00C1415B">
              <w:rPr>
                <w:noProof/>
                <w:webHidden/>
              </w:rPr>
              <w:tab/>
            </w:r>
            <w:r w:rsidR="00C1415B">
              <w:rPr>
                <w:noProof/>
                <w:webHidden/>
              </w:rPr>
              <w:fldChar w:fldCharType="begin"/>
            </w:r>
            <w:r w:rsidR="00C1415B">
              <w:rPr>
                <w:noProof/>
                <w:webHidden/>
              </w:rPr>
              <w:instrText xml:space="preserve"> PAGEREF _Toc481491418 \h </w:instrText>
            </w:r>
            <w:r w:rsidR="00C1415B">
              <w:rPr>
                <w:noProof/>
                <w:webHidden/>
              </w:rPr>
            </w:r>
            <w:r w:rsidR="00C1415B">
              <w:rPr>
                <w:noProof/>
                <w:webHidden/>
              </w:rPr>
              <w:fldChar w:fldCharType="separate"/>
            </w:r>
            <w:r w:rsidR="00B20711">
              <w:rPr>
                <w:noProof/>
                <w:webHidden/>
              </w:rPr>
              <w:t>iii</w:t>
            </w:r>
            <w:r w:rsidR="00C1415B">
              <w:rPr>
                <w:noProof/>
                <w:webHidden/>
              </w:rPr>
              <w:fldChar w:fldCharType="end"/>
            </w:r>
          </w:hyperlink>
        </w:p>
        <w:p w14:paraId="010438C3" w14:textId="6EB4DA17" w:rsidR="00C1415B" w:rsidRDefault="00EC65B9">
          <w:pPr>
            <w:pStyle w:val="TOC2"/>
            <w:tabs>
              <w:tab w:val="right" w:leader="dot" w:pos="9060"/>
            </w:tabs>
            <w:rPr>
              <w:rFonts w:asciiTheme="minorHAnsi" w:eastAsiaTheme="minorEastAsia" w:hAnsiTheme="minorHAnsi" w:cstheme="minorBidi"/>
              <w:smallCaps w:val="0"/>
              <w:noProof/>
              <w:szCs w:val="22"/>
              <w:lang w:eastAsia="en-GB" w:bidi="ar-SA"/>
            </w:rPr>
          </w:pPr>
          <w:hyperlink w:anchor="_Toc481491419" w:history="1">
            <w:r w:rsidR="00C1415B" w:rsidRPr="00D51487">
              <w:rPr>
                <w:rStyle w:val="Hyperlink"/>
                <w:noProof/>
              </w:rPr>
              <w:t>Conclusion</w:t>
            </w:r>
            <w:r w:rsidR="00C1415B">
              <w:rPr>
                <w:noProof/>
                <w:webHidden/>
              </w:rPr>
              <w:tab/>
            </w:r>
            <w:r w:rsidR="00C1415B">
              <w:rPr>
                <w:noProof/>
                <w:webHidden/>
              </w:rPr>
              <w:fldChar w:fldCharType="begin"/>
            </w:r>
            <w:r w:rsidR="00C1415B">
              <w:rPr>
                <w:noProof/>
                <w:webHidden/>
              </w:rPr>
              <w:instrText xml:space="preserve"> PAGEREF _Toc481491419 \h </w:instrText>
            </w:r>
            <w:r w:rsidR="00C1415B">
              <w:rPr>
                <w:noProof/>
                <w:webHidden/>
              </w:rPr>
            </w:r>
            <w:r w:rsidR="00C1415B">
              <w:rPr>
                <w:noProof/>
                <w:webHidden/>
              </w:rPr>
              <w:fldChar w:fldCharType="separate"/>
            </w:r>
            <w:r w:rsidR="00B20711">
              <w:rPr>
                <w:noProof/>
                <w:webHidden/>
              </w:rPr>
              <w:t>iii</w:t>
            </w:r>
            <w:r w:rsidR="00C1415B">
              <w:rPr>
                <w:noProof/>
                <w:webHidden/>
              </w:rPr>
              <w:fldChar w:fldCharType="end"/>
            </w:r>
          </w:hyperlink>
        </w:p>
        <w:p w14:paraId="1A024B70" w14:textId="3A2F231D" w:rsidR="00C1415B" w:rsidRDefault="00EC65B9">
          <w:pPr>
            <w:pStyle w:val="TOC1"/>
            <w:rPr>
              <w:rFonts w:asciiTheme="minorHAnsi" w:eastAsiaTheme="minorEastAsia" w:hAnsiTheme="minorHAnsi" w:cstheme="minorBidi"/>
              <w:b w:val="0"/>
              <w:bCs w:val="0"/>
              <w:caps w:val="0"/>
              <w:noProof/>
              <w:szCs w:val="22"/>
              <w:lang w:eastAsia="en-GB" w:bidi="ar-SA"/>
            </w:rPr>
          </w:pPr>
          <w:hyperlink w:anchor="_Toc481491420" w:history="1">
            <w:r w:rsidR="00C1415B" w:rsidRPr="00D51487">
              <w:rPr>
                <w:rStyle w:val="Hyperlink"/>
                <w:noProof/>
              </w:rPr>
              <w:t>List of Figures</w:t>
            </w:r>
            <w:r w:rsidR="00C1415B">
              <w:rPr>
                <w:noProof/>
                <w:webHidden/>
              </w:rPr>
              <w:tab/>
            </w:r>
            <w:r w:rsidR="00C1415B">
              <w:rPr>
                <w:noProof/>
                <w:webHidden/>
              </w:rPr>
              <w:fldChar w:fldCharType="begin"/>
            </w:r>
            <w:r w:rsidR="00C1415B">
              <w:rPr>
                <w:noProof/>
                <w:webHidden/>
              </w:rPr>
              <w:instrText xml:space="preserve"> PAGEREF _Toc481491420 \h </w:instrText>
            </w:r>
            <w:r w:rsidR="00C1415B">
              <w:rPr>
                <w:noProof/>
                <w:webHidden/>
              </w:rPr>
            </w:r>
            <w:r w:rsidR="00C1415B">
              <w:rPr>
                <w:noProof/>
                <w:webHidden/>
              </w:rPr>
              <w:fldChar w:fldCharType="separate"/>
            </w:r>
            <w:r w:rsidR="00B20711">
              <w:rPr>
                <w:noProof/>
                <w:webHidden/>
              </w:rPr>
              <w:t>2</w:t>
            </w:r>
            <w:r w:rsidR="00C1415B">
              <w:rPr>
                <w:noProof/>
                <w:webHidden/>
              </w:rPr>
              <w:fldChar w:fldCharType="end"/>
            </w:r>
          </w:hyperlink>
        </w:p>
        <w:p w14:paraId="6514BCD0" w14:textId="79E84C2E" w:rsidR="00C1415B" w:rsidRDefault="00EC65B9">
          <w:pPr>
            <w:pStyle w:val="TOC1"/>
            <w:rPr>
              <w:rFonts w:asciiTheme="minorHAnsi" w:eastAsiaTheme="minorEastAsia" w:hAnsiTheme="minorHAnsi" w:cstheme="minorBidi"/>
              <w:b w:val="0"/>
              <w:bCs w:val="0"/>
              <w:caps w:val="0"/>
              <w:noProof/>
              <w:szCs w:val="22"/>
              <w:lang w:eastAsia="en-GB" w:bidi="ar-SA"/>
            </w:rPr>
          </w:pPr>
          <w:hyperlink w:anchor="_Toc481491421" w:history="1">
            <w:r w:rsidR="00C1415B" w:rsidRPr="00D51487">
              <w:rPr>
                <w:rStyle w:val="Hyperlink"/>
                <w:noProof/>
              </w:rPr>
              <w:t>List of Tables</w:t>
            </w:r>
            <w:r w:rsidR="00C1415B">
              <w:rPr>
                <w:noProof/>
                <w:webHidden/>
              </w:rPr>
              <w:tab/>
            </w:r>
            <w:r w:rsidR="00C1415B">
              <w:rPr>
                <w:noProof/>
                <w:webHidden/>
              </w:rPr>
              <w:fldChar w:fldCharType="begin"/>
            </w:r>
            <w:r w:rsidR="00C1415B">
              <w:rPr>
                <w:noProof/>
                <w:webHidden/>
              </w:rPr>
              <w:instrText xml:space="preserve"> PAGEREF _Toc481491421 \h </w:instrText>
            </w:r>
            <w:r w:rsidR="00C1415B">
              <w:rPr>
                <w:noProof/>
                <w:webHidden/>
              </w:rPr>
            </w:r>
            <w:r w:rsidR="00C1415B">
              <w:rPr>
                <w:noProof/>
                <w:webHidden/>
              </w:rPr>
              <w:fldChar w:fldCharType="separate"/>
            </w:r>
            <w:r w:rsidR="00B20711">
              <w:rPr>
                <w:noProof/>
                <w:webHidden/>
              </w:rPr>
              <w:t>2</w:t>
            </w:r>
            <w:r w:rsidR="00C1415B">
              <w:rPr>
                <w:noProof/>
                <w:webHidden/>
              </w:rPr>
              <w:fldChar w:fldCharType="end"/>
            </w:r>
          </w:hyperlink>
        </w:p>
        <w:p w14:paraId="679C5495" w14:textId="0C9E603D" w:rsidR="00C1415B" w:rsidRDefault="00EC65B9">
          <w:pPr>
            <w:pStyle w:val="TOC1"/>
            <w:rPr>
              <w:rFonts w:asciiTheme="minorHAnsi" w:eastAsiaTheme="minorEastAsia" w:hAnsiTheme="minorHAnsi" w:cstheme="minorBidi"/>
              <w:b w:val="0"/>
              <w:bCs w:val="0"/>
              <w:caps w:val="0"/>
              <w:noProof/>
              <w:szCs w:val="22"/>
              <w:lang w:eastAsia="en-GB" w:bidi="ar-SA"/>
            </w:rPr>
          </w:pPr>
          <w:hyperlink w:anchor="_Toc481491422" w:history="1">
            <w:r w:rsidR="00C1415B" w:rsidRPr="00D51487">
              <w:rPr>
                <w:rStyle w:val="Hyperlink"/>
                <w:noProof/>
              </w:rPr>
              <w:t>List of Abbreviations</w:t>
            </w:r>
            <w:r w:rsidR="00C1415B">
              <w:rPr>
                <w:noProof/>
                <w:webHidden/>
              </w:rPr>
              <w:tab/>
            </w:r>
            <w:r w:rsidR="00C1415B">
              <w:rPr>
                <w:noProof/>
                <w:webHidden/>
              </w:rPr>
              <w:fldChar w:fldCharType="begin"/>
            </w:r>
            <w:r w:rsidR="00C1415B">
              <w:rPr>
                <w:noProof/>
                <w:webHidden/>
              </w:rPr>
              <w:instrText xml:space="preserve"> PAGEREF _Toc481491422 \h </w:instrText>
            </w:r>
            <w:r w:rsidR="00C1415B">
              <w:rPr>
                <w:noProof/>
                <w:webHidden/>
              </w:rPr>
            </w:r>
            <w:r w:rsidR="00C1415B">
              <w:rPr>
                <w:noProof/>
                <w:webHidden/>
              </w:rPr>
              <w:fldChar w:fldCharType="separate"/>
            </w:r>
            <w:r w:rsidR="00B20711">
              <w:rPr>
                <w:noProof/>
                <w:webHidden/>
              </w:rPr>
              <w:t>3</w:t>
            </w:r>
            <w:r w:rsidR="00C1415B">
              <w:rPr>
                <w:noProof/>
                <w:webHidden/>
              </w:rPr>
              <w:fldChar w:fldCharType="end"/>
            </w:r>
          </w:hyperlink>
        </w:p>
        <w:p w14:paraId="7365D8A1" w14:textId="3C3EC604" w:rsidR="00C1415B" w:rsidRDefault="00EC65B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23" w:history="1">
            <w:r w:rsidR="00C1415B" w:rsidRPr="00D51487">
              <w:rPr>
                <w:rStyle w:val="Hyperlink"/>
                <w:noProof/>
              </w:rPr>
              <w:t>1</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Introduction</w:t>
            </w:r>
            <w:r w:rsidR="00C1415B">
              <w:rPr>
                <w:noProof/>
                <w:webHidden/>
              </w:rPr>
              <w:tab/>
            </w:r>
            <w:r w:rsidR="00C1415B">
              <w:rPr>
                <w:noProof/>
                <w:webHidden/>
              </w:rPr>
              <w:fldChar w:fldCharType="begin"/>
            </w:r>
            <w:r w:rsidR="00C1415B">
              <w:rPr>
                <w:noProof/>
                <w:webHidden/>
              </w:rPr>
              <w:instrText xml:space="preserve"> PAGEREF _Toc481491423 \h </w:instrText>
            </w:r>
            <w:r w:rsidR="00C1415B">
              <w:rPr>
                <w:noProof/>
                <w:webHidden/>
              </w:rPr>
            </w:r>
            <w:r w:rsidR="00C1415B">
              <w:rPr>
                <w:noProof/>
                <w:webHidden/>
              </w:rPr>
              <w:fldChar w:fldCharType="separate"/>
            </w:r>
            <w:r w:rsidR="00B20711">
              <w:rPr>
                <w:noProof/>
                <w:webHidden/>
              </w:rPr>
              <w:t>5</w:t>
            </w:r>
            <w:r w:rsidR="00C1415B">
              <w:rPr>
                <w:noProof/>
                <w:webHidden/>
              </w:rPr>
              <w:fldChar w:fldCharType="end"/>
            </w:r>
          </w:hyperlink>
        </w:p>
        <w:p w14:paraId="25348609" w14:textId="45B5EA80" w:rsidR="00C1415B" w:rsidRDefault="00EC65B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24" w:history="1">
            <w:r w:rsidR="00C1415B" w:rsidRPr="00D51487">
              <w:rPr>
                <w:rStyle w:val="Hyperlink"/>
                <w:noProof/>
              </w:rPr>
              <w:t>2</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History of use</w:t>
            </w:r>
            <w:r w:rsidR="00C1415B">
              <w:rPr>
                <w:noProof/>
                <w:webHidden/>
              </w:rPr>
              <w:tab/>
            </w:r>
            <w:r w:rsidR="00C1415B">
              <w:rPr>
                <w:noProof/>
                <w:webHidden/>
              </w:rPr>
              <w:fldChar w:fldCharType="begin"/>
            </w:r>
            <w:r w:rsidR="00C1415B">
              <w:rPr>
                <w:noProof/>
                <w:webHidden/>
              </w:rPr>
              <w:instrText xml:space="preserve"> PAGEREF _Toc481491424 \h </w:instrText>
            </w:r>
            <w:r w:rsidR="00C1415B">
              <w:rPr>
                <w:noProof/>
                <w:webHidden/>
              </w:rPr>
            </w:r>
            <w:r w:rsidR="00C1415B">
              <w:rPr>
                <w:noProof/>
                <w:webHidden/>
              </w:rPr>
              <w:fldChar w:fldCharType="separate"/>
            </w:r>
            <w:r w:rsidR="00B20711">
              <w:rPr>
                <w:noProof/>
                <w:webHidden/>
              </w:rPr>
              <w:t>6</w:t>
            </w:r>
            <w:r w:rsidR="00C1415B">
              <w:rPr>
                <w:noProof/>
                <w:webHidden/>
              </w:rPr>
              <w:fldChar w:fldCharType="end"/>
            </w:r>
          </w:hyperlink>
        </w:p>
        <w:p w14:paraId="6B06D02C" w14:textId="139B06F4"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25" w:history="1">
            <w:r w:rsidR="00C1415B" w:rsidRPr="00D51487">
              <w:rPr>
                <w:rStyle w:val="Hyperlink"/>
                <w:noProof/>
              </w:rPr>
              <w:t>2.1</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Host organism</w:t>
            </w:r>
            <w:r w:rsidR="00C1415B">
              <w:rPr>
                <w:noProof/>
                <w:webHidden/>
              </w:rPr>
              <w:tab/>
            </w:r>
            <w:r w:rsidR="00C1415B">
              <w:rPr>
                <w:noProof/>
                <w:webHidden/>
              </w:rPr>
              <w:fldChar w:fldCharType="begin"/>
            </w:r>
            <w:r w:rsidR="00C1415B">
              <w:rPr>
                <w:noProof/>
                <w:webHidden/>
              </w:rPr>
              <w:instrText xml:space="preserve"> PAGEREF _Toc481491425 \h </w:instrText>
            </w:r>
            <w:r w:rsidR="00C1415B">
              <w:rPr>
                <w:noProof/>
                <w:webHidden/>
              </w:rPr>
            </w:r>
            <w:r w:rsidR="00C1415B">
              <w:rPr>
                <w:noProof/>
                <w:webHidden/>
              </w:rPr>
              <w:fldChar w:fldCharType="separate"/>
            </w:r>
            <w:r w:rsidR="00B20711">
              <w:rPr>
                <w:noProof/>
                <w:webHidden/>
              </w:rPr>
              <w:t>6</w:t>
            </w:r>
            <w:r w:rsidR="00C1415B">
              <w:rPr>
                <w:noProof/>
                <w:webHidden/>
              </w:rPr>
              <w:fldChar w:fldCharType="end"/>
            </w:r>
          </w:hyperlink>
        </w:p>
        <w:p w14:paraId="7F6D1E11" w14:textId="7B0A522C"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26" w:history="1">
            <w:r w:rsidR="00C1415B" w:rsidRPr="00D51487">
              <w:rPr>
                <w:rStyle w:val="Hyperlink"/>
                <w:noProof/>
              </w:rPr>
              <w:t>2.2</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Donor organisms</w:t>
            </w:r>
            <w:r w:rsidR="00C1415B">
              <w:rPr>
                <w:noProof/>
                <w:webHidden/>
              </w:rPr>
              <w:tab/>
            </w:r>
            <w:r w:rsidR="00C1415B">
              <w:rPr>
                <w:noProof/>
                <w:webHidden/>
              </w:rPr>
              <w:fldChar w:fldCharType="begin"/>
            </w:r>
            <w:r w:rsidR="00C1415B">
              <w:rPr>
                <w:noProof/>
                <w:webHidden/>
              </w:rPr>
              <w:instrText xml:space="preserve"> PAGEREF _Toc481491426 \h </w:instrText>
            </w:r>
            <w:r w:rsidR="00C1415B">
              <w:rPr>
                <w:noProof/>
                <w:webHidden/>
              </w:rPr>
            </w:r>
            <w:r w:rsidR="00C1415B">
              <w:rPr>
                <w:noProof/>
                <w:webHidden/>
              </w:rPr>
              <w:fldChar w:fldCharType="separate"/>
            </w:r>
            <w:r w:rsidR="00B20711">
              <w:rPr>
                <w:noProof/>
                <w:webHidden/>
              </w:rPr>
              <w:t>7</w:t>
            </w:r>
            <w:r w:rsidR="00C1415B">
              <w:rPr>
                <w:noProof/>
                <w:webHidden/>
              </w:rPr>
              <w:fldChar w:fldCharType="end"/>
            </w:r>
          </w:hyperlink>
        </w:p>
        <w:p w14:paraId="18277C92" w14:textId="0D3F9C0D" w:rsidR="00C1415B" w:rsidRDefault="00EC65B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27" w:history="1">
            <w:r w:rsidR="00C1415B" w:rsidRPr="00D51487">
              <w:rPr>
                <w:rStyle w:val="Hyperlink"/>
                <w:noProof/>
              </w:rPr>
              <w:t>3</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Molecular characterisation</w:t>
            </w:r>
            <w:r w:rsidR="00C1415B">
              <w:rPr>
                <w:noProof/>
                <w:webHidden/>
              </w:rPr>
              <w:tab/>
            </w:r>
            <w:r w:rsidR="00C1415B">
              <w:rPr>
                <w:noProof/>
                <w:webHidden/>
              </w:rPr>
              <w:fldChar w:fldCharType="begin"/>
            </w:r>
            <w:r w:rsidR="00C1415B">
              <w:rPr>
                <w:noProof/>
                <w:webHidden/>
              </w:rPr>
              <w:instrText xml:space="preserve"> PAGEREF _Toc481491427 \h </w:instrText>
            </w:r>
            <w:r w:rsidR="00C1415B">
              <w:rPr>
                <w:noProof/>
                <w:webHidden/>
              </w:rPr>
            </w:r>
            <w:r w:rsidR="00C1415B">
              <w:rPr>
                <w:noProof/>
                <w:webHidden/>
              </w:rPr>
              <w:fldChar w:fldCharType="separate"/>
            </w:r>
            <w:r w:rsidR="00B20711">
              <w:rPr>
                <w:noProof/>
                <w:webHidden/>
              </w:rPr>
              <w:t>8</w:t>
            </w:r>
            <w:r w:rsidR="00C1415B">
              <w:rPr>
                <w:noProof/>
                <w:webHidden/>
              </w:rPr>
              <w:fldChar w:fldCharType="end"/>
            </w:r>
          </w:hyperlink>
        </w:p>
        <w:p w14:paraId="3DE2B366" w14:textId="63DD7F05"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28" w:history="1">
            <w:r w:rsidR="00C1415B" w:rsidRPr="00D51487">
              <w:rPr>
                <w:rStyle w:val="Hyperlink"/>
                <w:noProof/>
              </w:rPr>
              <w:t xml:space="preserve">3.1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Method used in the genetic modification</w:t>
            </w:r>
            <w:r w:rsidR="00C1415B">
              <w:rPr>
                <w:noProof/>
                <w:webHidden/>
              </w:rPr>
              <w:tab/>
            </w:r>
            <w:r w:rsidR="00C1415B">
              <w:rPr>
                <w:noProof/>
                <w:webHidden/>
              </w:rPr>
              <w:fldChar w:fldCharType="begin"/>
            </w:r>
            <w:r w:rsidR="00C1415B">
              <w:rPr>
                <w:noProof/>
                <w:webHidden/>
              </w:rPr>
              <w:instrText xml:space="preserve"> PAGEREF _Toc481491428 \h </w:instrText>
            </w:r>
            <w:r w:rsidR="00C1415B">
              <w:rPr>
                <w:noProof/>
                <w:webHidden/>
              </w:rPr>
            </w:r>
            <w:r w:rsidR="00C1415B">
              <w:rPr>
                <w:noProof/>
                <w:webHidden/>
              </w:rPr>
              <w:fldChar w:fldCharType="separate"/>
            </w:r>
            <w:r w:rsidR="00B20711">
              <w:rPr>
                <w:noProof/>
                <w:webHidden/>
              </w:rPr>
              <w:t>9</w:t>
            </w:r>
            <w:r w:rsidR="00C1415B">
              <w:rPr>
                <w:noProof/>
                <w:webHidden/>
              </w:rPr>
              <w:fldChar w:fldCharType="end"/>
            </w:r>
          </w:hyperlink>
        </w:p>
        <w:p w14:paraId="3D091909" w14:textId="2DDDCD35"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29" w:history="1">
            <w:r w:rsidR="00C1415B" w:rsidRPr="00D51487">
              <w:rPr>
                <w:rStyle w:val="Hyperlink"/>
                <w:noProof/>
              </w:rPr>
              <w:t xml:space="preserve">3.2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Function and regulation of introduced gene fragments</w:t>
            </w:r>
            <w:r w:rsidR="00C1415B">
              <w:rPr>
                <w:noProof/>
                <w:webHidden/>
              </w:rPr>
              <w:tab/>
            </w:r>
            <w:r w:rsidR="00C1415B">
              <w:rPr>
                <w:noProof/>
                <w:webHidden/>
              </w:rPr>
              <w:fldChar w:fldCharType="begin"/>
            </w:r>
            <w:r w:rsidR="00C1415B">
              <w:rPr>
                <w:noProof/>
                <w:webHidden/>
              </w:rPr>
              <w:instrText xml:space="preserve"> PAGEREF _Toc481491429 \h </w:instrText>
            </w:r>
            <w:r w:rsidR="00C1415B">
              <w:rPr>
                <w:noProof/>
                <w:webHidden/>
              </w:rPr>
            </w:r>
            <w:r w:rsidR="00C1415B">
              <w:rPr>
                <w:noProof/>
                <w:webHidden/>
              </w:rPr>
              <w:fldChar w:fldCharType="separate"/>
            </w:r>
            <w:r w:rsidR="00B20711">
              <w:rPr>
                <w:noProof/>
                <w:webHidden/>
              </w:rPr>
              <w:t>9</w:t>
            </w:r>
            <w:r w:rsidR="00C1415B">
              <w:rPr>
                <w:noProof/>
                <w:webHidden/>
              </w:rPr>
              <w:fldChar w:fldCharType="end"/>
            </w:r>
          </w:hyperlink>
        </w:p>
        <w:p w14:paraId="211244F7" w14:textId="1D2B50C4"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0" w:history="1">
            <w:r w:rsidR="00C1415B" w:rsidRPr="00D51487">
              <w:rPr>
                <w:rStyle w:val="Hyperlink"/>
                <w:noProof/>
              </w:rPr>
              <w:t xml:space="preserve">3.3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Breeding of MS11</w:t>
            </w:r>
            <w:r w:rsidR="00C1415B">
              <w:rPr>
                <w:noProof/>
                <w:webHidden/>
              </w:rPr>
              <w:tab/>
            </w:r>
            <w:r w:rsidR="00C1415B">
              <w:rPr>
                <w:noProof/>
                <w:webHidden/>
              </w:rPr>
              <w:fldChar w:fldCharType="begin"/>
            </w:r>
            <w:r w:rsidR="00C1415B">
              <w:rPr>
                <w:noProof/>
                <w:webHidden/>
              </w:rPr>
              <w:instrText xml:space="preserve"> PAGEREF _Toc481491430 \h </w:instrText>
            </w:r>
            <w:r w:rsidR="00C1415B">
              <w:rPr>
                <w:noProof/>
                <w:webHidden/>
              </w:rPr>
            </w:r>
            <w:r w:rsidR="00C1415B">
              <w:rPr>
                <w:noProof/>
                <w:webHidden/>
              </w:rPr>
              <w:fldChar w:fldCharType="separate"/>
            </w:r>
            <w:r w:rsidR="00B20711">
              <w:rPr>
                <w:noProof/>
                <w:webHidden/>
              </w:rPr>
              <w:t>11</w:t>
            </w:r>
            <w:r w:rsidR="00C1415B">
              <w:rPr>
                <w:noProof/>
                <w:webHidden/>
              </w:rPr>
              <w:fldChar w:fldCharType="end"/>
            </w:r>
          </w:hyperlink>
        </w:p>
        <w:p w14:paraId="54EC7146" w14:textId="04B6F1C6"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1" w:history="1">
            <w:r w:rsidR="00C1415B" w:rsidRPr="00D51487">
              <w:rPr>
                <w:rStyle w:val="Hyperlink"/>
                <w:noProof/>
              </w:rPr>
              <w:t xml:space="preserve">3.4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Characterisation of the genetic modification in the plant</w:t>
            </w:r>
            <w:r w:rsidR="00C1415B">
              <w:rPr>
                <w:noProof/>
                <w:webHidden/>
              </w:rPr>
              <w:tab/>
            </w:r>
            <w:r w:rsidR="00C1415B">
              <w:rPr>
                <w:noProof/>
                <w:webHidden/>
              </w:rPr>
              <w:fldChar w:fldCharType="begin"/>
            </w:r>
            <w:r w:rsidR="00C1415B">
              <w:rPr>
                <w:noProof/>
                <w:webHidden/>
              </w:rPr>
              <w:instrText xml:space="preserve"> PAGEREF _Toc481491431 \h </w:instrText>
            </w:r>
            <w:r w:rsidR="00C1415B">
              <w:rPr>
                <w:noProof/>
                <w:webHidden/>
              </w:rPr>
            </w:r>
            <w:r w:rsidR="00C1415B">
              <w:rPr>
                <w:noProof/>
                <w:webHidden/>
              </w:rPr>
              <w:fldChar w:fldCharType="separate"/>
            </w:r>
            <w:r w:rsidR="00B20711">
              <w:rPr>
                <w:noProof/>
                <w:webHidden/>
              </w:rPr>
              <w:t>13</w:t>
            </w:r>
            <w:r w:rsidR="00C1415B">
              <w:rPr>
                <w:noProof/>
                <w:webHidden/>
              </w:rPr>
              <w:fldChar w:fldCharType="end"/>
            </w:r>
          </w:hyperlink>
        </w:p>
        <w:p w14:paraId="0DC27774" w14:textId="755602CF"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2" w:history="1">
            <w:r w:rsidR="00C1415B" w:rsidRPr="00D51487">
              <w:rPr>
                <w:rStyle w:val="Hyperlink"/>
                <w:noProof/>
              </w:rPr>
              <w:t>3.5</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Stability of the genetic change in MS11</w:t>
            </w:r>
            <w:r w:rsidR="00C1415B">
              <w:rPr>
                <w:noProof/>
                <w:webHidden/>
              </w:rPr>
              <w:tab/>
            </w:r>
            <w:r w:rsidR="00C1415B">
              <w:rPr>
                <w:noProof/>
                <w:webHidden/>
              </w:rPr>
              <w:fldChar w:fldCharType="begin"/>
            </w:r>
            <w:r w:rsidR="00C1415B">
              <w:rPr>
                <w:noProof/>
                <w:webHidden/>
              </w:rPr>
              <w:instrText xml:space="preserve"> PAGEREF _Toc481491432 \h </w:instrText>
            </w:r>
            <w:r w:rsidR="00C1415B">
              <w:rPr>
                <w:noProof/>
                <w:webHidden/>
              </w:rPr>
            </w:r>
            <w:r w:rsidR="00C1415B">
              <w:rPr>
                <w:noProof/>
                <w:webHidden/>
              </w:rPr>
              <w:fldChar w:fldCharType="separate"/>
            </w:r>
            <w:r w:rsidR="00B20711">
              <w:rPr>
                <w:noProof/>
                <w:webHidden/>
              </w:rPr>
              <w:t>16</w:t>
            </w:r>
            <w:r w:rsidR="00C1415B">
              <w:rPr>
                <w:noProof/>
                <w:webHidden/>
              </w:rPr>
              <w:fldChar w:fldCharType="end"/>
            </w:r>
          </w:hyperlink>
        </w:p>
        <w:p w14:paraId="786D5BA1" w14:textId="4E9ED3EC"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3" w:history="1">
            <w:r w:rsidR="00C1415B" w:rsidRPr="00D51487">
              <w:rPr>
                <w:rStyle w:val="Hyperlink"/>
                <w:noProof/>
              </w:rPr>
              <w:t>3.6</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Conclusion</w:t>
            </w:r>
            <w:r w:rsidR="00C1415B">
              <w:rPr>
                <w:noProof/>
                <w:webHidden/>
              </w:rPr>
              <w:tab/>
            </w:r>
            <w:r w:rsidR="00C1415B">
              <w:rPr>
                <w:noProof/>
                <w:webHidden/>
              </w:rPr>
              <w:fldChar w:fldCharType="begin"/>
            </w:r>
            <w:r w:rsidR="00C1415B">
              <w:rPr>
                <w:noProof/>
                <w:webHidden/>
              </w:rPr>
              <w:instrText xml:space="preserve"> PAGEREF _Toc481491433 \h </w:instrText>
            </w:r>
            <w:r w:rsidR="00C1415B">
              <w:rPr>
                <w:noProof/>
                <w:webHidden/>
              </w:rPr>
            </w:r>
            <w:r w:rsidR="00C1415B">
              <w:rPr>
                <w:noProof/>
                <w:webHidden/>
              </w:rPr>
              <w:fldChar w:fldCharType="separate"/>
            </w:r>
            <w:r w:rsidR="00B20711">
              <w:rPr>
                <w:noProof/>
                <w:webHidden/>
              </w:rPr>
              <w:t>17</w:t>
            </w:r>
            <w:r w:rsidR="00C1415B">
              <w:rPr>
                <w:noProof/>
                <w:webHidden/>
              </w:rPr>
              <w:fldChar w:fldCharType="end"/>
            </w:r>
          </w:hyperlink>
        </w:p>
        <w:p w14:paraId="16611C10" w14:textId="5BA8B5E5" w:rsidR="00C1415B" w:rsidRDefault="00EC65B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34" w:history="1">
            <w:r w:rsidR="00C1415B" w:rsidRPr="00D51487">
              <w:rPr>
                <w:rStyle w:val="Hyperlink"/>
                <w:noProof/>
              </w:rPr>
              <w:t>4</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Characterisation and safety assessment of new substances</w:t>
            </w:r>
            <w:r w:rsidR="00C1415B">
              <w:rPr>
                <w:noProof/>
                <w:webHidden/>
              </w:rPr>
              <w:tab/>
            </w:r>
            <w:r w:rsidR="00C1415B">
              <w:rPr>
                <w:noProof/>
                <w:webHidden/>
              </w:rPr>
              <w:fldChar w:fldCharType="begin"/>
            </w:r>
            <w:r w:rsidR="00C1415B">
              <w:rPr>
                <w:noProof/>
                <w:webHidden/>
              </w:rPr>
              <w:instrText xml:space="preserve"> PAGEREF _Toc481491434 \h </w:instrText>
            </w:r>
            <w:r w:rsidR="00C1415B">
              <w:rPr>
                <w:noProof/>
                <w:webHidden/>
              </w:rPr>
            </w:r>
            <w:r w:rsidR="00C1415B">
              <w:rPr>
                <w:noProof/>
                <w:webHidden/>
              </w:rPr>
              <w:fldChar w:fldCharType="separate"/>
            </w:r>
            <w:r w:rsidR="00B20711">
              <w:rPr>
                <w:noProof/>
                <w:webHidden/>
              </w:rPr>
              <w:t>17</w:t>
            </w:r>
            <w:r w:rsidR="00C1415B">
              <w:rPr>
                <w:noProof/>
                <w:webHidden/>
              </w:rPr>
              <w:fldChar w:fldCharType="end"/>
            </w:r>
          </w:hyperlink>
        </w:p>
        <w:p w14:paraId="267E4CEF" w14:textId="73EC9D51"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5" w:history="1">
            <w:r w:rsidR="00C1415B" w:rsidRPr="00D51487">
              <w:rPr>
                <w:rStyle w:val="Hyperlink"/>
                <w:noProof/>
              </w:rPr>
              <w:t xml:space="preserve">4.1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Newly expressed proteins</w:t>
            </w:r>
            <w:r w:rsidR="00C1415B">
              <w:rPr>
                <w:noProof/>
                <w:webHidden/>
              </w:rPr>
              <w:tab/>
            </w:r>
            <w:r w:rsidR="00C1415B">
              <w:rPr>
                <w:noProof/>
                <w:webHidden/>
              </w:rPr>
              <w:fldChar w:fldCharType="begin"/>
            </w:r>
            <w:r w:rsidR="00C1415B">
              <w:rPr>
                <w:noProof/>
                <w:webHidden/>
              </w:rPr>
              <w:instrText xml:space="preserve"> PAGEREF _Toc481491435 \h </w:instrText>
            </w:r>
            <w:r w:rsidR="00C1415B">
              <w:rPr>
                <w:noProof/>
                <w:webHidden/>
              </w:rPr>
            </w:r>
            <w:r w:rsidR="00C1415B">
              <w:rPr>
                <w:noProof/>
                <w:webHidden/>
              </w:rPr>
              <w:fldChar w:fldCharType="separate"/>
            </w:r>
            <w:r w:rsidR="00B20711">
              <w:rPr>
                <w:noProof/>
                <w:webHidden/>
              </w:rPr>
              <w:t>18</w:t>
            </w:r>
            <w:r w:rsidR="00C1415B">
              <w:rPr>
                <w:noProof/>
                <w:webHidden/>
              </w:rPr>
              <w:fldChar w:fldCharType="end"/>
            </w:r>
          </w:hyperlink>
        </w:p>
        <w:p w14:paraId="565A2C5D" w14:textId="229D14A2"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6" w:history="1">
            <w:r w:rsidR="00C1415B" w:rsidRPr="00D51487">
              <w:rPr>
                <w:rStyle w:val="Hyperlink"/>
                <w:noProof/>
              </w:rPr>
              <w:t>4.2</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Herbicide metabolites</w:t>
            </w:r>
            <w:r w:rsidR="00C1415B">
              <w:rPr>
                <w:noProof/>
                <w:webHidden/>
              </w:rPr>
              <w:tab/>
            </w:r>
            <w:r w:rsidR="00C1415B">
              <w:rPr>
                <w:noProof/>
                <w:webHidden/>
              </w:rPr>
              <w:fldChar w:fldCharType="begin"/>
            </w:r>
            <w:r w:rsidR="00C1415B">
              <w:rPr>
                <w:noProof/>
                <w:webHidden/>
              </w:rPr>
              <w:instrText xml:space="preserve"> PAGEREF _Toc481491436 \h </w:instrText>
            </w:r>
            <w:r w:rsidR="00C1415B">
              <w:rPr>
                <w:noProof/>
                <w:webHidden/>
              </w:rPr>
            </w:r>
            <w:r w:rsidR="00C1415B">
              <w:rPr>
                <w:noProof/>
                <w:webHidden/>
              </w:rPr>
              <w:fldChar w:fldCharType="separate"/>
            </w:r>
            <w:r w:rsidR="00B20711">
              <w:rPr>
                <w:noProof/>
                <w:webHidden/>
              </w:rPr>
              <w:t>33</w:t>
            </w:r>
            <w:r w:rsidR="00C1415B">
              <w:rPr>
                <w:noProof/>
                <w:webHidden/>
              </w:rPr>
              <w:fldChar w:fldCharType="end"/>
            </w:r>
          </w:hyperlink>
        </w:p>
        <w:p w14:paraId="5C64C6D2" w14:textId="4367D6DE" w:rsidR="00C1415B" w:rsidRDefault="00EC65B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37" w:history="1">
            <w:r w:rsidR="00C1415B" w:rsidRPr="00D51487">
              <w:rPr>
                <w:rStyle w:val="Hyperlink"/>
                <w:noProof/>
              </w:rPr>
              <w:t>5</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Compositional analyses</w:t>
            </w:r>
            <w:r w:rsidR="00C1415B">
              <w:rPr>
                <w:noProof/>
                <w:webHidden/>
              </w:rPr>
              <w:tab/>
            </w:r>
            <w:r w:rsidR="00C1415B">
              <w:rPr>
                <w:noProof/>
                <w:webHidden/>
              </w:rPr>
              <w:fldChar w:fldCharType="begin"/>
            </w:r>
            <w:r w:rsidR="00C1415B">
              <w:rPr>
                <w:noProof/>
                <w:webHidden/>
              </w:rPr>
              <w:instrText xml:space="preserve"> PAGEREF _Toc481491437 \h </w:instrText>
            </w:r>
            <w:r w:rsidR="00C1415B">
              <w:rPr>
                <w:noProof/>
                <w:webHidden/>
              </w:rPr>
            </w:r>
            <w:r w:rsidR="00C1415B">
              <w:rPr>
                <w:noProof/>
                <w:webHidden/>
              </w:rPr>
              <w:fldChar w:fldCharType="separate"/>
            </w:r>
            <w:r w:rsidR="00B20711">
              <w:rPr>
                <w:noProof/>
                <w:webHidden/>
              </w:rPr>
              <w:t>33</w:t>
            </w:r>
            <w:r w:rsidR="00C1415B">
              <w:rPr>
                <w:noProof/>
                <w:webHidden/>
              </w:rPr>
              <w:fldChar w:fldCharType="end"/>
            </w:r>
          </w:hyperlink>
        </w:p>
        <w:p w14:paraId="212C5ABB" w14:textId="028FF524"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8" w:history="1">
            <w:r w:rsidR="00C1415B" w:rsidRPr="00D51487">
              <w:rPr>
                <w:rStyle w:val="Hyperlink"/>
                <w:noProof/>
              </w:rPr>
              <w:t>5.1</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Key components</w:t>
            </w:r>
            <w:r w:rsidR="00C1415B">
              <w:rPr>
                <w:noProof/>
                <w:webHidden/>
              </w:rPr>
              <w:tab/>
            </w:r>
            <w:r w:rsidR="00C1415B">
              <w:rPr>
                <w:noProof/>
                <w:webHidden/>
              </w:rPr>
              <w:fldChar w:fldCharType="begin"/>
            </w:r>
            <w:r w:rsidR="00C1415B">
              <w:rPr>
                <w:noProof/>
                <w:webHidden/>
              </w:rPr>
              <w:instrText xml:space="preserve"> PAGEREF _Toc481491438 \h </w:instrText>
            </w:r>
            <w:r w:rsidR="00C1415B">
              <w:rPr>
                <w:noProof/>
                <w:webHidden/>
              </w:rPr>
            </w:r>
            <w:r w:rsidR="00C1415B">
              <w:rPr>
                <w:noProof/>
                <w:webHidden/>
              </w:rPr>
              <w:fldChar w:fldCharType="separate"/>
            </w:r>
            <w:r w:rsidR="00B20711">
              <w:rPr>
                <w:noProof/>
                <w:webHidden/>
              </w:rPr>
              <w:t>34</w:t>
            </w:r>
            <w:r w:rsidR="00C1415B">
              <w:rPr>
                <w:noProof/>
                <w:webHidden/>
              </w:rPr>
              <w:fldChar w:fldCharType="end"/>
            </w:r>
          </w:hyperlink>
        </w:p>
        <w:p w14:paraId="3DA175C0" w14:textId="3F28DF4B"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39" w:history="1">
            <w:r w:rsidR="00C1415B" w:rsidRPr="00D51487">
              <w:rPr>
                <w:rStyle w:val="Hyperlink"/>
                <w:noProof/>
              </w:rPr>
              <w:t>5.2</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Study design and conduct for key components</w:t>
            </w:r>
            <w:r w:rsidR="00C1415B">
              <w:rPr>
                <w:noProof/>
                <w:webHidden/>
              </w:rPr>
              <w:tab/>
            </w:r>
            <w:r w:rsidR="00C1415B">
              <w:rPr>
                <w:noProof/>
                <w:webHidden/>
              </w:rPr>
              <w:fldChar w:fldCharType="begin"/>
            </w:r>
            <w:r w:rsidR="00C1415B">
              <w:rPr>
                <w:noProof/>
                <w:webHidden/>
              </w:rPr>
              <w:instrText xml:space="preserve"> PAGEREF _Toc481491439 \h </w:instrText>
            </w:r>
            <w:r w:rsidR="00C1415B">
              <w:rPr>
                <w:noProof/>
                <w:webHidden/>
              </w:rPr>
            </w:r>
            <w:r w:rsidR="00C1415B">
              <w:rPr>
                <w:noProof/>
                <w:webHidden/>
              </w:rPr>
              <w:fldChar w:fldCharType="separate"/>
            </w:r>
            <w:r w:rsidR="00B20711">
              <w:rPr>
                <w:noProof/>
                <w:webHidden/>
              </w:rPr>
              <w:t>34</w:t>
            </w:r>
            <w:r w:rsidR="00C1415B">
              <w:rPr>
                <w:noProof/>
                <w:webHidden/>
              </w:rPr>
              <w:fldChar w:fldCharType="end"/>
            </w:r>
          </w:hyperlink>
        </w:p>
        <w:p w14:paraId="762F1AF7" w14:textId="6373C4F3"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40" w:history="1">
            <w:r w:rsidR="00C1415B" w:rsidRPr="00D51487">
              <w:rPr>
                <w:rStyle w:val="Hyperlink"/>
                <w:noProof/>
              </w:rPr>
              <w:t>5.3</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Analyses of key components in seed</w:t>
            </w:r>
            <w:r w:rsidR="00C1415B">
              <w:rPr>
                <w:noProof/>
                <w:webHidden/>
              </w:rPr>
              <w:tab/>
            </w:r>
            <w:r w:rsidR="00C1415B">
              <w:rPr>
                <w:noProof/>
                <w:webHidden/>
              </w:rPr>
              <w:fldChar w:fldCharType="begin"/>
            </w:r>
            <w:r w:rsidR="00C1415B">
              <w:rPr>
                <w:noProof/>
                <w:webHidden/>
              </w:rPr>
              <w:instrText xml:space="preserve"> PAGEREF _Toc481491440 \h </w:instrText>
            </w:r>
            <w:r w:rsidR="00C1415B">
              <w:rPr>
                <w:noProof/>
                <w:webHidden/>
              </w:rPr>
            </w:r>
            <w:r w:rsidR="00C1415B">
              <w:rPr>
                <w:noProof/>
                <w:webHidden/>
              </w:rPr>
              <w:fldChar w:fldCharType="separate"/>
            </w:r>
            <w:r w:rsidR="00B20711">
              <w:rPr>
                <w:noProof/>
                <w:webHidden/>
              </w:rPr>
              <w:t>35</w:t>
            </w:r>
            <w:r w:rsidR="00C1415B">
              <w:rPr>
                <w:noProof/>
                <w:webHidden/>
              </w:rPr>
              <w:fldChar w:fldCharType="end"/>
            </w:r>
          </w:hyperlink>
        </w:p>
        <w:p w14:paraId="082A7C3B" w14:textId="75459784" w:rsidR="00C1415B" w:rsidRDefault="00EC65B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81491441" w:history="1">
            <w:r w:rsidR="00C1415B" w:rsidRPr="00D51487">
              <w:rPr>
                <w:rStyle w:val="Hyperlink"/>
                <w:noProof/>
              </w:rPr>
              <w:t xml:space="preserve">5.4 </w:t>
            </w:r>
            <w:r w:rsidR="00C1415B">
              <w:rPr>
                <w:rFonts w:asciiTheme="minorHAnsi" w:eastAsiaTheme="minorEastAsia" w:hAnsiTheme="minorHAnsi" w:cstheme="minorBidi"/>
                <w:smallCaps w:val="0"/>
                <w:noProof/>
                <w:szCs w:val="22"/>
                <w:lang w:eastAsia="en-GB" w:bidi="ar-SA"/>
              </w:rPr>
              <w:tab/>
            </w:r>
            <w:r w:rsidR="00C1415B" w:rsidRPr="00D51487">
              <w:rPr>
                <w:rStyle w:val="Hyperlink"/>
                <w:noProof/>
              </w:rPr>
              <w:t>Conclusions of the compositional analyses</w:t>
            </w:r>
            <w:r w:rsidR="00C1415B">
              <w:rPr>
                <w:noProof/>
                <w:webHidden/>
              </w:rPr>
              <w:tab/>
            </w:r>
            <w:r w:rsidR="00C1415B">
              <w:rPr>
                <w:noProof/>
                <w:webHidden/>
              </w:rPr>
              <w:fldChar w:fldCharType="begin"/>
            </w:r>
            <w:r w:rsidR="00C1415B">
              <w:rPr>
                <w:noProof/>
                <w:webHidden/>
              </w:rPr>
              <w:instrText xml:space="preserve"> PAGEREF _Toc481491441 \h </w:instrText>
            </w:r>
            <w:r w:rsidR="00C1415B">
              <w:rPr>
                <w:noProof/>
                <w:webHidden/>
              </w:rPr>
            </w:r>
            <w:r w:rsidR="00C1415B">
              <w:rPr>
                <w:noProof/>
                <w:webHidden/>
              </w:rPr>
              <w:fldChar w:fldCharType="separate"/>
            </w:r>
            <w:r w:rsidR="00B20711">
              <w:rPr>
                <w:noProof/>
                <w:webHidden/>
              </w:rPr>
              <w:t>43</w:t>
            </w:r>
            <w:r w:rsidR="00C1415B">
              <w:rPr>
                <w:noProof/>
                <w:webHidden/>
              </w:rPr>
              <w:fldChar w:fldCharType="end"/>
            </w:r>
          </w:hyperlink>
        </w:p>
        <w:p w14:paraId="60EC98B5" w14:textId="2DBDE24F" w:rsidR="00C1415B" w:rsidRDefault="00EC65B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42" w:history="1">
            <w:r w:rsidR="00C1415B" w:rsidRPr="00D51487">
              <w:rPr>
                <w:rStyle w:val="Hyperlink"/>
                <w:noProof/>
              </w:rPr>
              <w:t>6</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Nutritional impact</w:t>
            </w:r>
            <w:r w:rsidR="00C1415B">
              <w:rPr>
                <w:noProof/>
                <w:webHidden/>
              </w:rPr>
              <w:tab/>
            </w:r>
            <w:r w:rsidR="00C1415B">
              <w:rPr>
                <w:noProof/>
                <w:webHidden/>
              </w:rPr>
              <w:fldChar w:fldCharType="begin"/>
            </w:r>
            <w:r w:rsidR="00C1415B">
              <w:rPr>
                <w:noProof/>
                <w:webHidden/>
              </w:rPr>
              <w:instrText xml:space="preserve"> PAGEREF _Toc481491442 \h </w:instrText>
            </w:r>
            <w:r w:rsidR="00C1415B">
              <w:rPr>
                <w:noProof/>
                <w:webHidden/>
              </w:rPr>
            </w:r>
            <w:r w:rsidR="00C1415B">
              <w:rPr>
                <w:noProof/>
                <w:webHidden/>
              </w:rPr>
              <w:fldChar w:fldCharType="separate"/>
            </w:r>
            <w:r w:rsidR="00B20711">
              <w:rPr>
                <w:noProof/>
                <w:webHidden/>
              </w:rPr>
              <w:t>44</w:t>
            </w:r>
            <w:r w:rsidR="00C1415B">
              <w:rPr>
                <w:noProof/>
                <w:webHidden/>
              </w:rPr>
              <w:fldChar w:fldCharType="end"/>
            </w:r>
          </w:hyperlink>
        </w:p>
        <w:p w14:paraId="6FAB3736" w14:textId="2BF5C476" w:rsidR="00C1415B" w:rsidRDefault="00EC65B9">
          <w:pPr>
            <w:pStyle w:val="TOC1"/>
            <w:tabs>
              <w:tab w:val="left" w:pos="440"/>
            </w:tabs>
            <w:rPr>
              <w:rFonts w:asciiTheme="minorHAnsi" w:eastAsiaTheme="minorEastAsia" w:hAnsiTheme="minorHAnsi" w:cstheme="minorBidi"/>
              <w:b w:val="0"/>
              <w:bCs w:val="0"/>
              <w:caps w:val="0"/>
              <w:noProof/>
              <w:szCs w:val="22"/>
              <w:lang w:eastAsia="en-GB" w:bidi="ar-SA"/>
            </w:rPr>
          </w:pPr>
          <w:hyperlink w:anchor="_Toc481491443" w:history="1">
            <w:r w:rsidR="00C1415B" w:rsidRPr="00D51487">
              <w:rPr>
                <w:rStyle w:val="Hyperlink"/>
                <w:noProof/>
              </w:rPr>
              <w:t>7</w:t>
            </w:r>
            <w:r w:rsidR="00C1415B">
              <w:rPr>
                <w:rFonts w:asciiTheme="minorHAnsi" w:eastAsiaTheme="minorEastAsia" w:hAnsiTheme="minorHAnsi" w:cstheme="minorBidi"/>
                <w:b w:val="0"/>
                <w:bCs w:val="0"/>
                <w:caps w:val="0"/>
                <w:noProof/>
                <w:szCs w:val="22"/>
                <w:lang w:eastAsia="en-GB" w:bidi="ar-SA"/>
              </w:rPr>
              <w:tab/>
            </w:r>
            <w:r w:rsidR="00C1415B" w:rsidRPr="00D51487">
              <w:rPr>
                <w:rStyle w:val="Hyperlink"/>
                <w:noProof/>
              </w:rPr>
              <w:t>References</w:t>
            </w:r>
            <w:r w:rsidR="00C1415B">
              <w:rPr>
                <w:noProof/>
                <w:webHidden/>
              </w:rPr>
              <w:tab/>
            </w:r>
            <w:r w:rsidR="00C1415B">
              <w:rPr>
                <w:noProof/>
                <w:webHidden/>
              </w:rPr>
              <w:fldChar w:fldCharType="begin"/>
            </w:r>
            <w:r w:rsidR="00C1415B">
              <w:rPr>
                <w:noProof/>
                <w:webHidden/>
              </w:rPr>
              <w:instrText xml:space="preserve"> PAGEREF _Toc481491443 \h </w:instrText>
            </w:r>
            <w:r w:rsidR="00C1415B">
              <w:rPr>
                <w:noProof/>
                <w:webHidden/>
              </w:rPr>
            </w:r>
            <w:r w:rsidR="00C1415B">
              <w:rPr>
                <w:noProof/>
                <w:webHidden/>
              </w:rPr>
              <w:fldChar w:fldCharType="separate"/>
            </w:r>
            <w:r w:rsidR="00B20711">
              <w:rPr>
                <w:noProof/>
                <w:webHidden/>
              </w:rPr>
              <w:t>44</w:t>
            </w:r>
            <w:r w:rsidR="00C1415B">
              <w:rPr>
                <w:noProof/>
                <w:webHidden/>
              </w:rPr>
              <w:fldChar w:fldCharType="end"/>
            </w:r>
          </w:hyperlink>
        </w:p>
        <w:p w14:paraId="56049D4A" w14:textId="0C864589" w:rsidR="0033454E" w:rsidRPr="00CA3AF5" w:rsidRDefault="0033454E" w:rsidP="0033454E">
          <w:pPr>
            <w:pStyle w:val="TOC1"/>
            <w:rPr>
              <w:color w:val="000000" w:themeColor="text1"/>
            </w:rPr>
          </w:pPr>
          <w:r w:rsidRPr="00CA3AF5">
            <w:rPr>
              <w:rFonts w:asciiTheme="minorHAnsi" w:hAnsiTheme="minorHAnsi"/>
              <w:color w:val="000000" w:themeColor="text1"/>
              <w:sz w:val="20"/>
            </w:rPr>
            <w:fldChar w:fldCharType="end"/>
          </w:r>
        </w:p>
      </w:sdtContent>
    </w:sdt>
    <w:p w14:paraId="0A12F71A" w14:textId="77777777" w:rsidR="0033454E" w:rsidRPr="00CA3AF5" w:rsidRDefault="0033454E">
      <w:pPr>
        <w:widowControl/>
        <w:rPr>
          <w:b/>
          <w:bCs/>
          <w:color w:val="000000" w:themeColor="text1"/>
          <w:sz w:val="36"/>
          <w:szCs w:val="36"/>
          <w:lang w:bidi="ar-SA"/>
        </w:rPr>
      </w:pPr>
      <w:r w:rsidRPr="00CA3AF5">
        <w:rPr>
          <w:color w:val="000000" w:themeColor="text1"/>
          <w:szCs w:val="36"/>
        </w:rPr>
        <w:br w:type="page"/>
      </w:r>
    </w:p>
    <w:p w14:paraId="149E6469" w14:textId="77777777" w:rsidR="0033454E" w:rsidRPr="00CA3AF5" w:rsidRDefault="0033454E" w:rsidP="0033454E">
      <w:pPr>
        <w:pStyle w:val="Heading1"/>
        <w:ind w:left="720" w:hanging="720"/>
        <w:jc w:val="both"/>
        <w:rPr>
          <w:color w:val="000000" w:themeColor="text1"/>
          <w:sz w:val="28"/>
        </w:rPr>
      </w:pPr>
      <w:bookmarkStart w:id="9" w:name="_Toc481491420"/>
      <w:r w:rsidRPr="00CA3AF5">
        <w:rPr>
          <w:color w:val="000000" w:themeColor="text1"/>
          <w:sz w:val="28"/>
        </w:rPr>
        <w:lastRenderedPageBreak/>
        <w:t>List of Figures</w:t>
      </w:r>
      <w:bookmarkEnd w:id="9"/>
    </w:p>
    <w:p w14:paraId="269930E3" w14:textId="77777777" w:rsidR="00012EF3" w:rsidRDefault="0033454E" w:rsidP="00012EF3">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r w:rsidRPr="00CA3AF5">
        <w:rPr>
          <w:color w:val="000000" w:themeColor="text1"/>
        </w:rPr>
        <w:fldChar w:fldCharType="begin"/>
      </w:r>
      <w:r w:rsidRPr="00CA3AF5">
        <w:rPr>
          <w:color w:val="000000" w:themeColor="text1"/>
        </w:rPr>
        <w:instrText xml:space="preserve"> TOC \h \z \c "Figure" </w:instrText>
      </w:r>
      <w:r w:rsidRPr="00CA3AF5">
        <w:rPr>
          <w:color w:val="000000" w:themeColor="text1"/>
        </w:rPr>
        <w:fldChar w:fldCharType="separate"/>
      </w:r>
      <w:hyperlink w:anchor="_Toc480537708" w:history="1">
        <w:r w:rsidR="00012EF3" w:rsidRPr="0027210D">
          <w:rPr>
            <w:rStyle w:val="Hyperlink"/>
            <w:rFonts w:eastAsiaTheme="majorEastAsia"/>
            <w:noProof/>
          </w:rPr>
          <w:t>Figure 1: Genes and regulatory elements contained in plasmid pTCO113</w:t>
        </w:r>
        <w:r w:rsidR="00012EF3">
          <w:rPr>
            <w:noProof/>
            <w:webHidden/>
          </w:rPr>
          <w:tab/>
        </w:r>
        <w:r w:rsidR="00012EF3">
          <w:rPr>
            <w:noProof/>
            <w:webHidden/>
          </w:rPr>
          <w:fldChar w:fldCharType="begin"/>
        </w:r>
        <w:r w:rsidR="00012EF3">
          <w:rPr>
            <w:noProof/>
            <w:webHidden/>
          </w:rPr>
          <w:instrText xml:space="preserve"> PAGEREF _Toc480537708 \h </w:instrText>
        </w:r>
        <w:r w:rsidR="00012EF3">
          <w:rPr>
            <w:noProof/>
            <w:webHidden/>
          </w:rPr>
        </w:r>
        <w:r w:rsidR="00012EF3">
          <w:rPr>
            <w:noProof/>
            <w:webHidden/>
          </w:rPr>
          <w:fldChar w:fldCharType="separate"/>
        </w:r>
        <w:r w:rsidR="00E92D94">
          <w:rPr>
            <w:noProof/>
            <w:webHidden/>
          </w:rPr>
          <w:t>13</w:t>
        </w:r>
        <w:r w:rsidR="00012EF3">
          <w:rPr>
            <w:noProof/>
            <w:webHidden/>
          </w:rPr>
          <w:fldChar w:fldCharType="end"/>
        </w:r>
      </w:hyperlink>
    </w:p>
    <w:p w14:paraId="5DF536A0" w14:textId="77777777" w:rsidR="00012EF3" w:rsidRDefault="00EC65B9" w:rsidP="00012EF3">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0537709" w:history="1">
        <w:r w:rsidR="00012EF3" w:rsidRPr="0027210D">
          <w:rPr>
            <w:rStyle w:val="Hyperlink"/>
            <w:rFonts w:eastAsiaTheme="majorEastAsia"/>
            <w:noProof/>
          </w:rPr>
          <w:t>Figure 2: Design of pTCO113 T-DNA region (showing restriction sites and genetic elements detailed in Table 1).</w:t>
        </w:r>
        <w:r w:rsidR="00012EF3">
          <w:rPr>
            <w:noProof/>
            <w:webHidden/>
          </w:rPr>
          <w:tab/>
        </w:r>
        <w:r w:rsidR="00012EF3">
          <w:rPr>
            <w:noProof/>
            <w:webHidden/>
          </w:rPr>
          <w:fldChar w:fldCharType="begin"/>
        </w:r>
        <w:r w:rsidR="00012EF3">
          <w:rPr>
            <w:noProof/>
            <w:webHidden/>
          </w:rPr>
          <w:instrText xml:space="preserve"> PAGEREF _Toc480537709 \h </w:instrText>
        </w:r>
        <w:r w:rsidR="00012EF3">
          <w:rPr>
            <w:noProof/>
            <w:webHidden/>
          </w:rPr>
        </w:r>
        <w:r w:rsidR="00012EF3">
          <w:rPr>
            <w:noProof/>
            <w:webHidden/>
          </w:rPr>
          <w:fldChar w:fldCharType="separate"/>
        </w:r>
        <w:r w:rsidR="00E92D94">
          <w:rPr>
            <w:noProof/>
            <w:webHidden/>
          </w:rPr>
          <w:t>13</w:t>
        </w:r>
        <w:r w:rsidR="00012EF3">
          <w:rPr>
            <w:noProof/>
            <w:webHidden/>
          </w:rPr>
          <w:fldChar w:fldCharType="end"/>
        </w:r>
      </w:hyperlink>
    </w:p>
    <w:p w14:paraId="233D80E0" w14:textId="77777777" w:rsidR="00012EF3" w:rsidRDefault="00EC65B9" w:rsidP="00012EF3">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0537710" w:history="1">
        <w:r w:rsidR="00012EF3" w:rsidRPr="0027210D">
          <w:rPr>
            <w:rStyle w:val="Hyperlink"/>
            <w:rFonts w:eastAsiaTheme="majorEastAsia"/>
            <w:noProof/>
          </w:rPr>
          <w:t>Figure 3: Breeding tree for MS11</w:t>
        </w:r>
        <w:r w:rsidR="00012EF3">
          <w:rPr>
            <w:noProof/>
            <w:webHidden/>
          </w:rPr>
          <w:tab/>
        </w:r>
        <w:r w:rsidR="00012EF3">
          <w:rPr>
            <w:noProof/>
            <w:webHidden/>
          </w:rPr>
          <w:fldChar w:fldCharType="begin"/>
        </w:r>
        <w:r w:rsidR="00012EF3">
          <w:rPr>
            <w:noProof/>
            <w:webHidden/>
          </w:rPr>
          <w:instrText xml:space="preserve"> PAGEREF _Toc480537710 \h </w:instrText>
        </w:r>
        <w:r w:rsidR="00012EF3">
          <w:rPr>
            <w:noProof/>
            <w:webHidden/>
          </w:rPr>
        </w:r>
        <w:r w:rsidR="00012EF3">
          <w:rPr>
            <w:noProof/>
            <w:webHidden/>
          </w:rPr>
          <w:fldChar w:fldCharType="separate"/>
        </w:r>
        <w:r w:rsidR="00E92D94">
          <w:rPr>
            <w:noProof/>
            <w:webHidden/>
          </w:rPr>
          <w:t>16</w:t>
        </w:r>
        <w:r w:rsidR="00012EF3">
          <w:rPr>
            <w:noProof/>
            <w:webHidden/>
          </w:rPr>
          <w:fldChar w:fldCharType="end"/>
        </w:r>
      </w:hyperlink>
    </w:p>
    <w:p w14:paraId="0985E8AC" w14:textId="77777777" w:rsidR="00012EF3" w:rsidRDefault="00EC65B9" w:rsidP="00012EF3">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0537711" w:history="1">
        <w:r w:rsidR="00012EF3" w:rsidRPr="0027210D">
          <w:rPr>
            <w:rStyle w:val="Hyperlink"/>
            <w:rFonts w:eastAsiaTheme="majorEastAsia"/>
            <w:noProof/>
          </w:rPr>
          <w:t>Figure 4: Representation of the map position of the T-DNA insert in the N90-740 genome</w:t>
        </w:r>
        <w:r w:rsidR="00012EF3">
          <w:rPr>
            <w:noProof/>
            <w:webHidden/>
          </w:rPr>
          <w:tab/>
        </w:r>
        <w:r w:rsidR="00012EF3">
          <w:rPr>
            <w:noProof/>
            <w:webHidden/>
          </w:rPr>
          <w:fldChar w:fldCharType="begin"/>
        </w:r>
        <w:r w:rsidR="00012EF3">
          <w:rPr>
            <w:noProof/>
            <w:webHidden/>
          </w:rPr>
          <w:instrText xml:space="preserve"> PAGEREF _Toc480537711 \h </w:instrText>
        </w:r>
        <w:r w:rsidR="00012EF3">
          <w:rPr>
            <w:noProof/>
            <w:webHidden/>
          </w:rPr>
        </w:r>
        <w:r w:rsidR="00012EF3">
          <w:rPr>
            <w:noProof/>
            <w:webHidden/>
          </w:rPr>
          <w:fldChar w:fldCharType="separate"/>
        </w:r>
        <w:r w:rsidR="00E92D94">
          <w:rPr>
            <w:noProof/>
            <w:webHidden/>
          </w:rPr>
          <w:t>19</w:t>
        </w:r>
        <w:r w:rsidR="00012EF3">
          <w:rPr>
            <w:noProof/>
            <w:webHidden/>
          </w:rPr>
          <w:fldChar w:fldCharType="end"/>
        </w:r>
      </w:hyperlink>
    </w:p>
    <w:p w14:paraId="67DA75FB" w14:textId="77777777" w:rsidR="0033454E" w:rsidRPr="00CA3AF5" w:rsidRDefault="0033454E" w:rsidP="00012EF3">
      <w:pPr>
        <w:spacing w:before="120" w:after="120"/>
        <w:ind w:left="993" w:hanging="993"/>
        <w:rPr>
          <w:color w:val="000000" w:themeColor="text1"/>
        </w:rPr>
      </w:pPr>
      <w:r w:rsidRPr="00CA3AF5">
        <w:rPr>
          <w:color w:val="000000" w:themeColor="text1"/>
        </w:rPr>
        <w:fldChar w:fldCharType="end"/>
      </w:r>
    </w:p>
    <w:p w14:paraId="42ECFC38" w14:textId="77777777" w:rsidR="0033454E" w:rsidRPr="00CA3AF5" w:rsidRDefault="0033454E" w:rsidP="0033454E">
      <w:pPr>
        <w:pStyle w:val="Heading1"/>
        <w:ind w:left="720" w:hanging="720"/>
        <w:jc w:val="both"/>
        <w:rPr>
          <w:color w:val="000000" w:themeColor="text1"/>
          <w:sz w:val="28"/>
        </w:rPr>
      </w:pPr>
      <w:bookmarkStart w:id="10" w:name="_Toc481491421"/>
      <w:r w:rsidRPr="00CA3AF5">
        <w:rPr>
          <w:color w:val="000000" w:themeColor="text1"/>
          <w:sz w:val="28"/>
        </w:rPr>
        <w:t>List of Tables</w:t>
      </w:r>
      <w:bookmarkEnd w:id="10"/>
    </w:p>
    <w:p w14:paraId="6D41437F" w14:textId="77777777" w:rsidR="008F34A0" w:rsidRPr="008F34A0" w:rsidRDefault="0033454E"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r w:rsidRPr="00CA3AF5">
        <w:rPr>
          <w:color w:val="000000" w:themeColor="text1"/>
        </w:rPr>
        <w:fldChar w:fldCharType="begin"/>
      </w:r>
      <w:r w:rsidRPr="00CA3AF5">
        <w:rPr>
          <w:color w:val="000000" w:themeColor="text1"/>
        </w:rPr>
        <w:instrText xml:space="preserve"> TOC \f F \h \z \c "Table" </w:instrText>
      </w:r>
      <w:r w:rsidRPr="00CA3AF5">
        <w:rPr>
          <w:color w:val="000000" w:themeColor="text1"/>
        </w:rPr>
        <w:fldChar w:fldCharType="separate"/>
      </w:r>
      <w:hyperlink w:anchor="_Toc481574636" w:history="1">
        <w:r w:rsidR="008F34A0" w:rsidRPr="008F34A0">
          <w:rPr>
            <w:rStyle w:val="Hyperlink"/>
            <w:rFonts w:eastAsiaTheme="majorEastAsia"/>
            <w:noProof/>
          </w:rPr>
          <w:t>Table 1: Description of the genetic elements contained in the T-DNA of pTCO113</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_Toc481574636 \h </w:instrText>
        </w:r>
        <w:r w:rsidR="008F34A0" w:rsidRPr="008F34A0">
          <w:rPr>
            <w:noProof/>
            <w:webHidden/>
          </w:rPr>
        </w:r>
        <w:r w:rsidR="008F34A0" w:rsidRPr="008F34A0">
          <w:rPr>
            <w:noProof/>
            <w:webHidden/>
          </w:rPr>
          <w:fldChar w:fldCharType="separate"/>
        </w:r>
        <w:r w:rsidR="00E92D94">
          <w:rPr>
            <w:noProof/>
            <w:webHidden/>
          </w:rPr>
          <w:t>14</w:t>
        </w:r>
        <w:r w:rsidR="008F34A0" w:rsidRPr="008F34A0">
          <w:rPr>
            <w:noProof/>
            <w:webHidden/>
          </w:rPr>
          <w:fldChar w:fldCharType="end"/>
        </w:r>
      </w:hyperlink>
    </w:p>
    <w:p w14:paraId="7BC75C57" w14:textId="77777777" w:rsidR="008F34A0" w:rsidRP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37" w:history="1">
        <w:r w:rsidR="008F34A0" w:rsidRPr="008F34A0">
          <w:rPr>
            <w:rStyle w:val="Hyperlink"/>
            <w:rFonts w:eastAsiaTheme="majorEastAsia"/>
            <w:noProof/>
          </w:rPr>
          <w:t>Table 2: MS11 generations used for various analyses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_Toc481574637 \h </w:instrText>
        </w:r>
        <w:r w:rsidR="008F34A0" w:rsidRPr="008F34A0">
          <w:rPr>
            <w:noProof/>
            <w:webHidden/>
          </w:rPr>
        </w:r>
        <w:r w:rsidR="008F34A0" w:rsidRPr="008F34A0">
          <w:rPr>
            <w:noProof/>
            <w:webHidden/>
          </w:rPr>
          <w:fldChar w:fldCharType="separate"/>
        </w:r>
        <w:r w:rsidR="00E92D94">
          <w:rPr>
            <w:noProof/>
            <w:webHidden/>
          </w:rPr>
          <w:t>16</w:t>
        </w:r>
        <w:r w:rsidR="008F34A0" w:rsidRPr="008F34A0">
          <w:rPr>
            <w:noProof/>
            <w:webHidden/>
          </w:rPr>
          <w:fldChar w:fldCharType="end"/>
        </w:r>
      </w:hyperlink>
    </w:p>
    <w:p w14:paraId="2A2E6387" w14:textId="77777777" w:rsidR="008F34A0" w:rsidRP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38" w:history="1">
        <w:r w:rsidR="008F34A0" w:rsidRPr="008F34A0">
          <w:rPr>
            <w:rStyle w:val="Hyperlink"/>
            <w:rFonts w:eastAsiaTheme="majorEastAsia"/>
            <w:noProof/>
          </w:rPr>
          <w:t>Table 3: Segregation of the T-DNA insert in MS11 over five generations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_Toc481574638 \h </w:instrText>
        </w:r>
        <w:r w:rsidR="008F34A0" w:rsidRPr="008F34A0">
          <w:rPr>
            <w:noProof/>
            <w:webHidden/>
          </w:rPr>
        </w:r>
        <w:r w:rsidR="008F34A0" w:rsidRPr="008F34A0">
          <w:rPr>
            <w:noProof/>
            <w:webHidden/>
          </w:rPr>
          <w:fldChar w:fldCharType="separate"/>
        </w:r>
        <w:r w:rsidR="00E92D94">
          <w:rPr>
            <w:noProof/>
            <w:webHidden/>
          </w:rPr>
          <w:t>21</w:t>
        </w:r>
        <w:r w:rsidR="008F34A0" w:rsidRPr="008F34A0">
          <w:rPr>
            <w:noProof/>
            <w:webHidden/>
          </w:rPr>
          <w:fldChar w:fldCharType="end"/>
        </w:r>
      </w:hyperlink>
    </w:p>
    <w:p w14:paraId="50ACF780" w14:textId="77777777" w:rsidR="008F34A0" w:rsidRP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39" w:history="1">
        <w:r w:rsidR="008F34A0" w:rsidRPr="008F34A0">
          <w:rPr>
            <w:rStyle w:val="Hyperlink"/>
            <w:rFonts w:eastAsiaTheme="majorEastAsia"/>
            <w:noProof/>
          </w:rPr>
          <w:t>Table 4: PAT, Barnase &amp; Barstar protein content in various tissues of MS11 and MS11 x RF3, averaged across three sites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_Toc481574639 \h </w:instrText>
        </w:r>
        <w:r w:rsidR="008F34A0" w:rsidRPr="008F34A0">
          <w:rPr>
            <w:noProof/>
            <w:webHidden/>
          </w:rPr>
        </w:r>
        <w:r w:rsidR="008F34A0" w:rsidRPr="008F34A0">
          <w:rPr>
            <w:noProof/>
            <w:webHidden/>
          </w:rPr>
          <w:fldChar w:fldCharType="separate"/>
        </w:r>
        <w:r w:rsidR="00E92D94">
          <w:rPr>
            <w:noProof/>
            <w:webHidden/>
          </w:rPr>
          <w:t>25</w:t>
        </w:r>
        <w:r w:rsidR="008F34A0" w:rsidRPr="008F34A0">
          <w:rPr>
            <w:noProof/>
            <w:webHidden/>
          </w:rPr>
          <w:fldChar w:fldCharType="end"/>
        </w:r>
      </w:hyperlink>
    </w:p>
    <w:p w14:paraId="169FD1F4" w14:textId="77777777" w:rsidR="008F34A0" w:rsidRP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0" w:history="1">
        <w:r w:rsidR="008F34A0" w:rsidRPr="008F34A0">
          <w:rPr>
            <w:rStyle w:val="Hyperlink"/>
            <w:rFonts w:eastAsiaTheme="majorEastAsia"/>
            <w:noProof/>
          </w:rPr>
          <w:t>Table 5: Mean percentage ±SD of proximates and fibre in seed of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_Toc481574640 \h </w:instrText>
        </w:r>
        <w:r w:rsidR="008F34A0" w:rsidRPr="008F34A0">
          <w:rPr>
            <w:noProof/>
            <w:webHidden/>
          </w:rPr>
        </w:r>
        <w:r w:rsidR="008F34A0" w:rsidRPr="008F34A0">
          <w:rPr>
            <w:noProof/>
            <w:webHidden/>
          </w:rPr>
          <w:fldChar w:fldCharType="separate"/>
        </w:r>
        <w:r w:rsidR="00E92D94">
          <w:rPr>
            <w:noProof/>
            <w:webHidden/>
          </w:rPr>
          <w:t>40</w:t>
        </w:r>
        <w:r w:rsidR="008F34A0" w:rsidRPr="008F34A0">
          <w:rPr>
            <w:noProof/>
            <w:webHidden/>
          </w:rPr>
          <w:fldChar w:fldCharType="end"/>
        </w:r>
      </w:hyperlink>
    </w:p>
    <w:p w14:paraId="0C463910" w14:textId="77777777" w:rsidR="008F34A0" w:rsidRP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1" w:history="1">
        <w:r w:rsidR="008F34A0" w:rsidRPr="008F34A0">
          <w:rPr>
            <w:rStyle w:val="Hyperlink"/>
            <w:rFonts w:eastAsiaTheme="majorEastAsia"/>
            <w:noProof/>
          </w:rPr>
          <w:t>Table 6: Mean percentage ±SD composition, relative to total fat of major fatty acids in seed from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_Toc481574641 \h </w:instrText>
        </w:r>
        <w:r w:rsidR="008F34A0" w:rsidRPr="008F34A0">
          <w:rPr>
            <w:noProof/>
            <w:webHidden/>
          </w:rPr>
        </w:r>
        <w:r w:rsidR="008F34A0" w:rsidRPr="008F34A0">
          <w:rPr>
            <w:noProof/>
            <w:webHidden/>
          </w:rPr>
          <w:fldChar w:fldCharType="separate"/>
        </w:r>
        <w:r w:rsidR="00E92D94">
          <w:rPr>
            <w:noProof/>
            <w:webHidden/>
          </w:rPr>
          <w:t>41</w:t>
        </w:r>
        <w:r w:rsidR="008F34A0" w:rsidRPr="008F34A0">
          <w:rPr>
            <w:noProof/>
            <w:webHidden/>
          </w:rPr>
          <w:fldChar w:fldCharType="end"/>
        </w:r>
      </w:hyperlink>
    </w:p>
    <w:p w14:paraId="7D07CFDC" w14:textId="77777777" w:rsidR="008F34A0" w:rsidRP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2" w:history="1">
        <w:r w:rsidR="008F34A0" w:rsidRPr="008F34A0">
          <w:rPr>
            <w:rStyle w:val="Hyperlink"/>
            <w:rFonts w:eastAsiaTheme="majorEastAsia"/>
            <w:noProof/>
          </w:rPr>
          <w:t>Table 7: Mean ±SD amino acid composition (% dw) in seed from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_Toc481574642 \h </w:instrText>
        </w:r>
        <w:r w:rsidR="008F34A0" w:rsidRPr="008F34A0">
          <w:rPr>
            <w:noProof/>
            <w:webHidden/>
          </w:rPr>
        </w:r>
        <w:r w:rsidR="008F34A0" w:rsidRPr="008F34A0">
          <w:rPr>
            <w:noProof/>
            <w:webHidden/>
          </w:rPr>
          <w:fldChar w:fldCharType="separate"/>
        </w:r>
        <w:r w:rsidR="00E92D94">
          <w:rPr>
            <w:noProof/>
            <w:webHidden/>
          </w:rPr>
          <w:t>42</w:t>
        </w:r>
        <w:r w:rsidR="008F34A0" w:rsidRPr="008F34A0">
          <w:rPr>
            <w:noProof/>
            <w:webHidden/>
          </w:rPr>
          <w:fldChar w:fldCharType="end"/>
        </w:r>
      </w:hyperlink>
    </w:p>
    <w:p w14:paraId="2FBE1BD7" w14:textId="77777777" w:rsidR="008F34A0" w:rsidRP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3" w:history="1">
        <w:r w:rsidR="008F34A0" w:rsidRPr="008F34A0">
          <w:rPr>
            <w:rStyle w:val="Hyperlink"/>
            <w:rFonts w:eastAsiaTheme="majorEastAsia"/>
            <w:noProof/>
          </w:rPr>
          <w:t>Table 8: Mean ±SD mineral composition (mg/kg dw) in seed from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_Toc481574643 \h </w:instrText>
        </w:r>
        <w:r w:rsidR="008F34A0" w:rsidRPr="008F34A0">
          <w:rPr>
            <w:noProof/>
            <w:webHidden/>
          </w:rPr>
        </w:r>
        <w:r w:rsidR="008F34A0" w:rsidRPr="008F34A0">
          <w:rPr>
            <w:noProof/>
            <w:webHidden/>
          </w:rPr>
          <w:fldChar w:fldCharType="separate"/>
        </w:r>
        <w:r w:rsidR="00E92D94">
          <w:rPr>
            <w:noProof/>
            <w:webHidden/>
          </w:rPr>
          <w:t>43</w:t>
        </w:r>
        <w:r w:rsidR="008F34A0" w:rsidRPr="008F34A0">
          <w:rPr>
            <w:noProof/>
            <w:webHidden/>
          </w:rPr>
          <w:fldChar w:fldCharType="end"/>
        </w:r>
      </w:hyperlink>
    </w:p>
    <w:p w14:paraId="2B3ED6C1" w14:textId="77777777" w:rsidR="008F34A0" w:rsidRP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4" w:history="1">
        <w:r w:rsidR="008F34A0" w:rsidRPr="008F34A0">
          <w:rPr>
            <w:rStyle w:val="Hyperlink"/>
            <w:rFonts w:eastAsiaTheme="majorEastAsia"/>
            <w:noProof/>
          </w:rPr>
          <w:t>Table 9: Mean ±SD vitamin composition (mg/kg dw) in seed from MS11 and the       N90-740 control collected from 9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_Toc481574644 \h </w:instrText>
        </w:r>
        <w:r w:rsidR="008F34A0" w:rsidRPr="008F34A0">
          <w:rPr>
            <w:noProof/>
            <w:webHidden/>
          </w:rPr>
        </w:r>
        <w:r w:rsidR="008F34A0" w:rsidRPr="008F34A0">
          <w:rPr>
            <w:noProof/>
            <w:webHidden/>
          </w:rPr>
          <w:fldChar w:fldCharType="separate"/>
        </w:r>
        <w:r w:rsidR="00E92D94">
          <w:rPr>
            <w:noProof/>
            <w:webHidden/>
          </w:rPr>
          <w:t>44</w:t>
        </w:r>
        <w:r w:rsidR="008F34A0" w:rsidRPr="008F34A0">
          <w:rPr>
            <w:noProof/>
            <w:webHidden/>
          </w:rPr>
          <w:fldChar w:fldCharType="end"/>
        </w:r>
      </w:hyperlink>
    </w:p>
    <w:p w14:paraId="24C1872D" w14:textId="77777777" w:rsidR="008F34A0" w:rsidRP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5" w:history="1">
        <w:r w:rsidR="008F34A0" w:rsidRPr="008F34A0">
          <w:rPr>
            <w:rStyle w:val="Hyperlink"/>
            <w:rFonts w:eastAsiaTheme="majorEastAsia"/>
            <w:noProof/>
          </w:rPr>
          <w:t>Table 10: Mean ±SD anti-nutrient levels in seed from MS11 and the N90-740 control collected from nine locations</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_Toc481574645 \h </w:instrText>
        </w:r>
        <w:r w:rsidR="008F34A0" w:rsidRPr="008F34A0">
          <w:rPr>
            <w:noProof/>
            <w:webHidden/>
          </w:rPr>
        </w:r>
        <w:r w:rsidR="008F34A0" w:rsidRPr="008F34A0">
          <w:rPr>
            <w:noProof/>
            <w:webHidden/>
          </w:rPr>
          <w:fldChar w:fldCharType="separate"/>
        </w:r>
        <w:r w:rsidR="00E92D94">
          <w:rPr>
            <w:noProof/>
            <w:webHidden/>
          </w:rPr>
          <w:t>45</w:t>
        </w:r>
        <w:r w:rsidR="008F34A0" w:rsidRPr="008F34A0">
          <w:rPr>
            <w:noProof/>
            <w:webHidden/>
          </w:rPr>
          <w:fldChar w:fldCharType="end"/>
        </w:r>
      </w:hyperlink>
    </w:p>
    <w:p w14:paraId="2F6B93C1" w14:textId="77777777" w:rsidR="008F34A0" w:rsidRDefault="00EC65B9" w:rsidP="008F34A0">
      <w:pPr>
        <w:pStyle w:val="TableofFigures"/>
        <w:tabs>
          <w:tab w:val="right" w:leader="dot" w:pos="9060"/>
        </w:tabs>
        <w:spacing w:after="120"/>
        <w:ind w:left="993" w:hanging="993"/>
        <w:rPr>
          <w:rFonts w:asciiTheme="minorHAnsi" w:eastAsiaTheme="minorEastAsia" w:hAnsiTheme="minorHAnsi" w:cstheme="minorBidi"/>
          <w:noProof/>
          <w:szCs w:val="22"/>
          <w:lang w:eastAsia="en-GB" w:bidi="ar-SA"/>
        </w:rPr>
      </w:pPr>
      <w:hyperlink w:anchor="_Toc481574646" w:history="1">
        <w:r w:rsidR="008F34A0" w:rsidRPr="008F34A0">
          <w:rPr>
            <w:rStyle w:val="Hyperlink"/>
            <w:rFonts w:eastAsiaTheme="majorEastAsia"/>
            <w:noProof/>
          </w:rPr>
          <w:t>Table 11: Summary of analyte levels found in seed of MS11 that are significantly (p&lt;0.05) different from those found in seed of the control N90-740</w:t>
        </w:r>
        <w:r w:rsidR="008F34A0" w:rsidRPr="008F34A0">
          <w:rPr>
            <w:noProof/>
            <w:webHidden/>
          </w:rPr>
          <w:tab/>
        </w:r>
        <w:r w:rsidR="008F34A0" w:rsidRPr="008F34A0">
          <w:rPr>
            <w:noProof/>
            <w:webHidden/>
          </w:rPr>
          <w:fldChar w:fldCharType="begin"/>
        </w:r>
        <w:r w:rsidR="008F34A0" w:rsidRPr="008F34A0">
          <w:rPr>
            <w:noProof/>
            <w:webHidden/>
          </w:rPr>
          <w:instrText xml:space="preserve"> PAGEREF _Toc481574646 \h </w:instrText>
        </w:r>
        <w:r w:rsidR="008F34A0" w:rsidRPr="008F34A0">
          <w:rPr>
            <w:noProof/>
            <w:webHidden/>
          </w:rPr>
        </w:r>
        <w:r w:rsidR="008F34A0" w:rsidRPr="008F34A0">
          <w:rPr>
            <w:noProof/>
            <w:webHidden/>
          </w:rPr>
          <w:fldChar w:fldCharType="separate"/>
        </w:r>
        <w:r w:rsidR="00E92D94">
          <w:rPr>
            <w:noProof/>
            <w:webHidden/>
          </w:rPr>
          <w:t>46</w:t>
        </w:r>
        <w:r w:rsidR="008F34A0" w:rsidRPr="008F34A0">
          <w:rPr>
            <w:noProof/>
            <w:webHidden/>
          </w:rPr>
          <w:fldChar w:fldCharType="end"/>
        </w:r>
      </w:hyperlink>
    </w:p>
    <w:p w14:paraId="7BDBAD7A" w14:textId="77777777" w:rsidR="0033454E" w:rsidRPr="00CA3AF5" w:rsidRDefault="0033454E" w:rsidP="0033454E">
      <w:pPr>
        <w:widowControl/>
        <w:spacing w:before="120" w:after="120"/>
        <w:ind w:left="851" w:hanging="851"/>
        <w:rPr>
          <w:color w:val="000000" w:themeColor="text1"/>
        </w:rPr>
      </w:pPr>
      <w:r w:rsidRPr="00CA3AF5">
        <w:rPr>
          <w:color w:val="000000" w:themeColor="text1"/>
        </w:rPr>
        <w:fldChar w:fldCharType="end"/>
      </w:r>
      <w:r w:rsidRPr="00CA3AF5">
        <w:rPr>
          <w:color w:val="000000" w:themeColor="text1"/>
        </w:rPr>
        <w:br w:type="page"/>
      </w:r>
    </w:p>
    <w:p w14:paraId="359B26D8" w14:textId="77777777" w:rsidR="0033454E" w:rsidRPr="003112F3" w:rsidRDefault="0033454E" w:rsidP="0033454E">
      <w:pPr>
        <w:pStyle w:val="Heading1"/>
        <w:ind w:left="720" w:hanging="720"/>
        <w:jc w:val="both"/>
        <w:rPr>
          <w:color w:val="000000" w:themeColor="text1"/>
          <w:sz w:val="28"/>
        </w:rPr>
      </w:pPr>
      <w:bookmarkStart w:id="11" w:name="_Toc481491422"/>
      <w:r w:rsidRPr="003112F3">
        <w:rPr>
          <w:color w:val="000000" w:themeColor="text1"/>
          <w:sz w:val="28"/>
        </w:rPr>
        <w:lastRenderedPageBreak/>
        <w:t>List of Abbreviations</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33454E" w:rsidRPr="001B5342" w14:paraId="6801D19D" w14:textId="77777777" w:rsidTr="0033454E">
        <w:trPr>
          <w:trHeight w:val="283"/>
        </w:trPr>
        <w:tc>
          <w:tcPr>
            <w:tcW w:w="2943" w:type="dxa"/>
          </w:tcPr>
          <w:p w14:paraId="1C2DFA2C" w14:textId="77777777" w:rsidR="0033454E" w:rsidRPr="005B347F" w:rsidRDefault="0033454E" w:rsidP="0033454E">
            <w:pPr>
              <w:widowControl/>
              <w:rPr>
                <w:color w:val="000000" w:themeColor="text1"/>
              </w:rPr>
            </w:pPr>
            <w:r w:rsidRPr="005B347F">
              <w:rPr>
                <w:color w:val="000000" w:themeColor="text1"/>
              </w:rPr>
              <w:t>ai/L</w:t>
            </w:r>
          </w:p>
        </w:tc>
        <w:tc>
          <w:tcPr>
            <w:tcW w:w="6299" w:type="dxa"/>
          </w:tcPr>
          <w:p w14:paraId="2AE32B53" w14:textId="77777777" w:rsidR="0033454E" w:rsidRPr="005B347F" w:rsidRDefault="0033454E" w:rsidP="0033454E">
            <w:pPr>
              <w:widowControl/>
              <w:rPr>
                <w:color w:val="000000" w:themeColor="text1"/>
              </w:rPr>
            </w:pPr>
            <w:r w:rsidRPr="005B347F">
              <w:rPr>
                <w:color w:val="000000" w:themeColor="text1"/>
              </w:rPr>
              <w:t>active ingredient per litre</w:t>
            </w:r>
          </w:p>
        </w:tc>
      </w:tr>
      <w:tr w:rsidR="0033454E" w:rsidRPr="001B5342" w14:paraId="4895794C" w14:textId="77777777" w:rsidTr="0033454E">
        <w:trPr>
          <w:trHeight w:val="283"/>
        </w:trPr>
        <w:tc>
          <w:tcPr>
            <w:tcW w:w="2943" w:type="dxa"/>
          </w:tcPr>
          <w:p w14:paraId="28D3524C" w14:textId="77777777" w:rsidR="0033454E" w:rsidRPr="00575A12" w:rsidRDefault="0033454E" w:rsidP="0033454E">
            <w:pPr>
              <w:widowControl/>
              <w:rPr>
                <w:color w:val="000000" w:themeColor="text1"/>
              </w:rPr>
            </w:pPr>
            <w:r w:rsidRPr="00575A12">
              <w:rPr>
                <w:color w:val="000000" w:themeColor="text1"/>
              </w:rPr>
              <w:t>ADI</w:t>
            </w:r>
          </w:p>
        </w:tc>
        <w:tc>
          <w:tcPr>
            <w:tcW w:w="6299" w:type="dxa"/>
          </w:tcPr>
          <w:p w14:paraId="4E08F46B" w14:textId="77777777" w:rsidR="0033454E" w:rsidRPr="00575A12" w:rsidRDefault="0033454E" w:rsidP="0033454E">
            <w:pPr>
              <w:widowControl/>
              <w:rPr>
                <w:color w:val="000000" w:themeColor="text1"/>
              </w:rPr>
            </w:pPr>
            <w:r w:rsidRPr="00575A12">
              <w:rPr>
                <w:color w:val="000000" w:themeColor="text1"/>
              </w:rPr>
              <w:t>Acceptable Daily Intake</w:t>
            </w:r>
          </w:p>
        </w:tc>
      </w:tr>
      <w:tr w:rsidR="0033454E" w:rsidRPr="001B5342" w14:paraId="53FCF8DC" w14:textId="77777777" w:rsidTr="0033454E">
        <w:trPr>
          <w:trHeight w:val="283"/>
        </w:trPr>
        <w:tc>
          <w:tcPr>
            <w:tcW w:w="2943" w:type="dxa"/>
          </w:tcPr>
          <w:p w14:paraId="295B3CF1" w14:textId="77777777" w:rsidR="0033454E" w:rsidRPr="00575A12" w:rsidRDefault="0033454E" w:rsidP="0033454E">
            <w:pPr>
              <w:widowControl/>
              <w:rPr>
                <w:color w:val="000000" w:themeColor="text1"/>
              </w:rPr>
            </w:pPr>
            <w:r w:rsidRPr="00575A12">
              <w:rPr>
                <w:color w:val="000000" w:themeColor="text1"/>
              </w:rPr>
              <w:t>ADF</w:t>
            </w:r>
          </w:p>
        </w:tc>
        <w:tc>
          <w:tcPr>
            <w:tcW w:w="6299" w:type="dxa"/>
          </w:tcPr>
          <w:p w14:paraId="2C3DA558" w14:textId="77777777" w:rsidR="0033454E" w:rsidRPr="00575A12" w:rsidRDefault="0033454E" w:rsidP="0033454E">
            <w:pPr>
              <w:widowControl/>
              <w:rPr>
                <w:color w:val="000000" w:themeColor="text1"/>
              </w:rPr>
            </w:pPr>
            <w:r w:rsidRPr="00575A12">
              <w:rPr>
                <w:color w:val="000000" w:themeColor="text1"/>
              </w:rPr>
              <w:t>acid detergent fibre</w:t>
            </w:r>
          </w:p>
        </w:tc>
      </w:tr>
      <w:tr w:rsidR="0033454E" w:rsidRPr="001B5342" w14:paraId="34ECB45F" w14:textId="77777777" w:rsidTr="0033454E">
        <w:trPr>
          <w:trHeight w:val="283"/>
        </w:trPr>
        <w:tc>
          <w:tcPr>
            <w:tcW w:w="2943" w:type="dxa"/>
          </w:tcPr>
          <w:p w14:paraId="2AE3EC3C" w14:textId="77777777" w:rsidR="0033454E" w:rsidRPr="00062305" w:rsidRDefault="0033454E" w:rsidP="0033454E">
            <w:pPr>
              <w:widowControl/>
              <w:rPr>
                <w:color w:val="000000" w:themeColor="text1"/>
              </w:rPr>
            </w:pPr>
            <w:r w:rsidRPr="00062305">
              <w:rPr>
                <w:color w:val="000000" w:themeColor="text1"/>
              </w:rPr>
              <w:t>AP</w:t>
            </w:r>
          </w:p>
        </w:tc>
        <w:tc>
          <w:tcPr>
            <w:tcW w:w="6299" w:type="dxa"/>
          </w:tcPr>
          <w:p w14:paraId="04EA8B3F" w14:textId="77777777" w:rsidR="0033454E" w:rsidRPr="00062305" w:rsidRDefault="0033454E" w:rsidP="0033454E">
            <w:pPr>
              <w:widowControl/>
              <w:rPr>
                <w:color w:val="000000" w:themeColor="text1"/>
              </w:rPr>
            </w:pPr>
            <w:r w:rsidRPr="00062305">
              <w:rPr>
                <w:color w:val="000000" w:themeColor="text1"/>
              </w:rPr>
              <w:t>alkaline phosphatase</w:t>
            </w:r>
          </w:p>
        </w:tc>
      </w:tr>
      <w:tr w:rsidR="0033454E" w:rsidRPr="001B5342" w14:paraId="2CBF3272" w14:textId="77777777" w:rsidTr="0033454E">
        <w:trPr>
          <w:trHeight w:val="283"/>
        </w:trPr>
        <w:tc>
          <w:tcPr>
            <w:tcW w:w="2943" w:type="dxa"/>
          </w:tcPr>
          <w:p w14:paraId="77D07B19" w14:textId="77777777" w:rsidR="0033454E" w:rsidRPr="003112F3" w:rsidRDefault="0033454E" w:rsidP="0033454E">
            <w:pPr>
              <w:widowControl/>
              <w:rPr>
                <w:color w:val="000000" w:themeColor="text1"/>
              </w:rPr>
            </w:pPr>
            <w:r>
              <w:rPr>
                <w:color w:val="000000" w:themeColor="text1"/>
              </w:rPr>
              <w:t>ARfD</w:t>
            </w:r>
          </w:p>
        </w:tc>
        <w:tc>
          <w:tcPr>
            <w:tcW w:w="6299" w:type="dxa"/>
          </w:tcPr>
          <w:p w14:paraId="140F5F14" w14:textId="77777777" w:rsidR="0033454E" w:rsidRPr="00DF40FF" w:rsidRDefault="0033454E" w:rsidP="0033454E">
            <w:pPr>
              <w:widowControl/>
              <w:rPr>
                <w:rFonts w:cs="Arial"/>
                <w:color w:val="000000" w:themeColor="text1"/>
                <w:szCs w:val="22"/>
              </w:rPr>
            </w:pPr>
            <w:r w:rsidRPr="00DF40FF">
              <w:rPr>
                <w:rFonts w:cs="Arial"/>
                <w:color w:val="000000" w:themeColor="text1"/>
                <w:szCs w:val="22"/>
              </w:rPr>
              <w:t>Acute reference dose</w:t>
            </w:r>
          </w:p>
        </w:tc>
      </w:tr>
      <w:tr w:rsidR="0033454E" w:rsidRPr="001B5342" w14:paraId="3A61EF64" w14:textId="77777777" w:rsidTr="0033454E">
        <w:trPr>
          <w:trHeight w:val="283"/>
        </w:trPr>
        <w:tc>
          <w:tcPr>
            <w:tcW w:w="2943" w:type="dxa"/>
          </w:tcPr>
          <w:p w14:paraId="3DFF1163" w14:textId="77777777" w:rsidR="0033454E" w:rsidRPr="003112F3" w:rsidRDefault="0033454E" w:rsidP="0033454E">
            <w:pPr>
              <w:widowControl/>
              <w:rPr>
                <w:color w:val="000000" w:themeColor="text1"/>
              </w:rPr>
            </w:pPr>
            <w:r>
              <w:rPr>
                <w:color w:val="000000" w:themeColor="text1"/>
              </w:rPr>
              <w:t>bar</w:t>
            </w:r>
          </w:p>
        </w:tc>
        <w:tc>
          <w:tcPr>
            <w:tcW w:w="6299" w:type="dxa"/>
          </w:tcPr>
          <w:p w14:paraId="7D4AD1DC" w14:textId="77777777" w:rsidR="0033454E" w:rsidRPr="009A1ECC" w:rsidRDefault="0033454E" w:rsidP="0033454E">
            <w:pPr>
              <w:widowControl/>
              <w:rPr>
                <w:rFonts w:cs="Arial"/>
                <w:color w:val="000000" w:themeColor="text1"/>
                <w:szCs w:val="22"/>
              </w:rPr>
            </w:pPr>
            <w:r w:rsidRPr="009A1ECC">
              <w:rPr>
                <w:rFonts w:cs="Arial"/>
                <w:color w:val="000000" w:themeColor="text1"/>
                <w:szCs w:val="22"/>
              </w:rPr>
              <w:t>Bialaphos resistance</w:t>
            </w:r>
          </w:p>
        </w:tc>
      </w:tr>
      <w:tr w:rsidR="0033454E" w:rsidRPr="001B5342" w14:paraId="124EA102" w14:textId="77777777" w:rsidTr="0033454E">
        <w:trPr>
          <w:trHeight w:val="283"/>
        </w:trPr>
        <w:tc>
          <w:tcPr>
            <w:tcW w:w="2943" w:type="dxa"/>
          </w:tcPr>
          <w:p w14:paraId="5A299C94" w14:textId="77777777" w:rsidR="0033454E" w:rsidRPr="003112F3" w:rsidRDefault="0033454E" w:rsidP="0033454E">
            <w:pPr>
              <w:widowControl/>
              <w:rPr>
                <w:color w:val="000000" w:themeColor="text1"/>
              </w:rPr>
            </w:pPr>
            <w:r w:rsidRPr="003112F3">
              <w:rPr>
                <w:color w:val="000000" w:themeColor="text1"/>
              </w:rPr>
              <w:t>Barnase</w:t>
            </w:r>
          </w:p>
        </w:tc>
        <w:tc>
          <w:tcPr>
            <w:tcW w:w="6299" w:type="dxa"/>
          </w:tcPr>
          <w:p w14:paraId="0968BE06" w14:textId="77777777" w:rsidR="0033454E" w:rsidRPr="009A1ECC" w:rsidRDefault="0033454E" w:rsidP="0033454E">
            <w:pPr>
              <w:widowControl/>
              <w:rPr>
                <w:color w:val="000000" w:themeColor="text1"/>
              </w:rPr>
            </w:pPr>
            <w:r w:rsidRPr="009A1ECC">
              <w:rPr>
                <w:rFonts w:cs="Arial"/>
                <w:color w:val="000000" w:themeColor="text1"/>
                <w:szCs w:val="22"/>
              </w:rPr>
              <w:t>bacterial cytotoxic ribonuclease</w:t>
            </w:r>
          </w:p>
        </w:tc>
      </w:tr>
      <w:tr w:rsidR="0033454E" w:rsidRPr="001B5342" w14:paraId="51473D9B" w14:textId="77777777" w:rsidTr="0033454E">
        <w:trPr>
          <w:trHeight w:val="283"/>
        </w:trPr>
        <w:tc>
          <w:tcPr>
            <w:tcW w:w="2943" w:type="dxa"/>
          </w:tcPr>
          <w:p w14:paraId="6D837F5F" w14:textId="77777777" w:rsidR="0033454E" w:rsidRPr="00706703" w:rsidRDefault="0033454E" w:rsidP="0033454E">
            <w:pPr>
              <w:widowControl/>
              <w:rPr>
                <w:color w:val="000000" w:themeColor="text1"/>
              </w:rPr>
            </w:pPr>
            <w:r w:rsidRPr="00706703">
              <w:rPr>
                <w:color w:val="000000" w:themeColor="text1"/>
              </w:rPr>
              <w:t>BLAST</w:t>
            </w:r>
          </w:p>
        </w:tc>
        <w:tc>
          <w:tcPr>
            <w:tcW w:w="6299" w:type="dxa"/>
          </w:tcPr>
          <w:p w14:paraId="68BA61CF" w14:textId="77777777" w:rsidR="0033454E" w:rsidRPr="00706703" w:rsidRDefault="0033454E" w:rsidP="0033454E">
            <w:pPr>
              <w:widowControl/>
              <w:rPr>
                <w:color w:val="000000" w:themeColor="text1"/>
              </w:rPr>
            </w:pPr>
            <w:r w:rsidRPr="00706703">
              <w:rPr>
                <w:color w:val="000000" w:themeColor="text1"/>
              </w:rPr>
              <w:t>Basic Local Alignment Search Tool</w:t>
            </w:r>
          </w:p>
        </w:tc>
      </w:tr>
      <w:tr w:rsidR="0033454E" w:rsidRPr="001B5342" w14:paraId="5442F2A2" w14:textId="77777777" w:rsidTr="0033454E">
        <w:trPr>
          <w:trHeight w:val="283"/>
        </w:trPr>
        <w:tc>
          <w:tcPr>
            <w:tcW w:w="2943" w:type="dxa"/>
          </w:tcPr>
          <w:p w14:paraId="3513435E" w14:textId="77777777" w:rsidR="0033454E" w:rsidRPr="00706703" w:rsidRDefault="0033454E" w:rsidP="0033454E">
            <w:pPr>
              <w:widowControl/>
              <w:rPr>
                <w:color w:val="000000" w:themeColor="text1"/>
              </w:rPr>
            </w:pPr>
            <w:r>
              <w:rPr>
                <w:color w:val="000000" w:themeColor="text1"/>
              </w:rPr>
              <w:t>BLAT</w:t>
            </w:r>
          </w:p>
        </w:tc>
        <w:tc>
          <w:tcPr>
            <w:tcW w:w="6299" w:type="dxa"/>
          </w:tcPr>
          <w:p w14:paraId="3F0C41BE" w14:textId="77777777" w:rsidR="0033454E" w:rsidRPr="00706703" w:rsidRDefault="0033454E" w:rsidP="0033454E">
            <w:pPr>
              <w:widowControl/>
              <w:rPr>
                <w:color w:val="000000" w:themeColor="text1"/>
              </w:rPr>
            </w:pPr>
            <w:r>
              <w:rPr>
                <w:color w:val="000000" w:themeColor="text1"/>
              </w:rPr>
              <w:t>BLAST-like alignment tool</w:t>
            </w:r>
          </w:p>
        </w:tc>
      </w:tr>
      <w:tr w:rsidR="0033454E" w:rsidRPr="001B5342" w14:paraId="500F2A6B" w14:textId="77777777" w:rsidTr="0033454E">
        <w:trPr>
          <w:trHeight w:val="283"/>
        </w:trPr>
        <w:tc>
          <w:tcPr>
            <w:tcW w:w="2943" w:type="dxa"/>
          </w:tcPr>
          <w:p w14:paraId="27631E2C" w14:textId="77777777" w:rsidR="0033454E" w:rsidRPr="003112F3" w:rsidRDefault="0033454E" w:rsidP="0033454E">
            <w:pPr>
              <w:widowControl/>
              <w:rPr>
                <w:color w:val="000000" w:themeColor="text1"/>
              </w:rPr>
            </w:pPr>
            <w:r w:rsidRPr="003112F3">
              <w:rPr>
                <w:color w:val="000000" w:themeColor="text1"/>
              </w:rPr>
              <w:t>bp</w:t>
            </w:r>
          </w:p>
        </w:tc>
        <w:tc>
          <w:tcPr>
            <w:tcW w:w="6299" w:type="dxa"/>
          </w:tcPr>
          <w:p w14:paraId="2089585A" w14:textId="77777777" w:rsidR="0033454E" w:rsidRPr="003112F3" w:rsidRDefault="0033454E" w:rsidP="0033454E">
            <w:pPr>
              <w:widowControl/>
              <w:rPr>
                <w:color w:val="000000" w:themeColor="text1"/>
              </w:rPr>
            </w:pPr>
            <w:r w:rsidRPr="003112F3">
              <w:rPr>
                <w:color w:val="000000" w:themeColor="text1"/>
              </w:rPr>
              <w:t>base pairs</w:t>
            </w:r>
          </w:p>
        </w:tc>
      </w:tr>
      <w:tr w:rsidR="0033454E" w:rsidRPr="001B5342" w14:paraId="4D10CA9E" w14:textId="77777777" w:rsidTr="0033454E">
        <w:trPr>
          <w:trHeight w:val="283"/>
        </w:trPr>
        <w:tc>
          <w:tcPr>
            <w:tcW w:w="2943" w:type="dxa"/>
          </w:tcPr>
          <w:p w14:paraId="70DB2DC6" w14:textId="77777777" w:rsidR="0033454E" w:rsidRPr="00706703" w:rsidRDefault="0033454E" w:rsidP="0033454E">
            <w:pPr>
              <w:widowControl/>
              <w:rPr>
                <w:color w:val="000000" w:themeColor="text1"/>
              </w:rPr>
            </w:pPr>
            <w:r>
              <w:rPr>
                <w:color w:val="000000" w:themeColor="text1"/>
              </w:rPr>
              <w:t>CoA</w:t>
            </w:r>
          </w:p>
        </w:tc>
        <w:tc>
          <w:tcPr>
            <w:tcW w:w="6299" w:type="dxa"/>
          </w:tcPr>
          <w:p w14:paraId="2377FC25" w14:textId="77777777" w:rsidR="0033454E" w:rsidRPr="00706703" w:rsidRDefault="0033454E" w:rsidP="0033454E">
            <w:pPr>
              <w:widowControl/>
              <w:rPr>
                <w:iCs/>
                <w:color w:val="000000" w:themeColor="text1"/>
              </w:rPr>
            </w:pPr>
            <w:r>
              <w:rPr>
                <w:iCs/>
                <w:color w:val="000000" w:themeColor="text1"/>
              </w:rPr>
              <w:t>co-enzyme A</w:t>
            </w:r>
          </w:p>
        </w:tc>
      </w:tr>
      <w:tr w:rsidR="0033454E" w:rsidRPr="001B5342" w14:paraId="2C888961" w14:textId="77777777" w:rsidTr="0033454E">
        <w:trPr>
          <w:trHeight w:val="283"/>
        </w:trPr>
        <w:tc>
          <w:tcPr>
            <w:tcW w:w="2943" w:type="dxa"/>
          </w:tcPr>
          <w:p w14:paraId="1839EB90" w14:textId="77777777" w:rsidR="0033454E" w:rsidRPr="00706703" w:rsidRDefault="0033454E" w:rsidP="0033454E">
            <w:pPr>
              <w:widowControl/>
              <w:rPr>
                <w:color w:val="000000" w:themeColor="text1"/>
              </w:rPr>
            </w:pPr>
            <w:r w:rsidRPr="00706703">
              <w:rPr>
                <w:color w:val="000000" w:themeColor="text1"/>
              </w:rPr>
              <w:t>DIG</w:t>
            </w:r>
          </w:p>
        </w:tc>
        <w:tc>
          <w:tcPr>
            <w:tcW w:w="6299" w:type="dxa"/>
          </w:tcPr>
          <w:p w14:paraId="010EB6D4" w14:textId="77777777" w:rsidR="0033454E" w:rsidRPr="00706703" w:rsidRDefault="0033454E" w:rsidP="0033454E">
            <w:pPr>
              <w:widowControl/>
              <w:rPr>
                <w:color w:val="000000" w:themeColor="text1"/>
              </w:rPr>
            </w:pPr>
            <w:r w:rsidRPr="00706703">
              <w:rPr>
                <w:iCs/>
                <w:color w:val="000000" w:themeColor="text1"/>
              </w:rPr>
              <w:t>digoxigenin</w:t>
            </w:r>
          </w:p>
        </w:tc>
      </w:tr>
      <w:tr w:rsidR="00AD4317" w:rsidRPr="001B5342" w14:paraId="0C6E9681" w14:textId="77777777" w:rsidTr="0033454E">
        <w:trPr>
          <w:trHeight w:val="283"/>
        </w:trPr>
        <w:tc>
          <w:tcPr>
            <w:tcW w:w="2943" w:type="dxa"/>
          </w:tcPr>
          <w:p w14:paraId="395E9BFD" w14:textId="037DDDBF" w:rsidR="00AD4317" w:rsidRPr="00706703" w:rsidRDefault="00AD4317" w:rsidP="0033454E">
            <w:pPr>
              <w:widowControl/>
              <w:rPr>
                <w:color w:val="000000" w:themeColor="text1"/>
              </w:rPr>
            </w:pPr>
            <w:r w:rsidRPr="00BD4BB0">
              <w:rPr>
                <w:color w:val="000000" w:themeColor="text1"/>
              </w:rPr>
              <w:t>Code</w:t>
            </w:r>
          </w:p>
        </w:tc>
        <w:tc>
          <w:tcPr>
            <w:tcW w:w="6299" w:type="dxa"/>
          </w:tcPr>
          <w:p w14:paraId="7D930688" w14:textId="40F49ED3" w:rsidR="00AD4317" w:rsidRPr="00706703" w:rsidRDefault="00AD4317" w:rsidP="0033454E">
            <w:pPr>
              <w:widowControl/>
              <w:rPr>
                <w:iCs/>
                <w:color w:val="000000" w:themeColor="text1"/>
              </w:rPr>
            </w:pPr>
            <w:r w:rsidRPr="00AD4317">
              <w:rPr>
                <w:i/>
                <w:color w:val="000000" w:themeColor="text1"/>
              </w:rPr>
              <w:t>Australia New Zealand Food Standards Code</w:t>
            </w:r>
          </w:p>
        </w:tc>
      </w:tr>
      <w:tr w:rsidR="00AD4317" w:rsidRPr="001B5342" w14:paraId="1CD304BA" w14:textId="77777777" w:rsidTr="0033454E">
        <w:trPr>
          <w:trHeight w:val="283"/>
        </w:trPr>
        <w:tc>
          <w:tcPr>
            <w:tcW w:w="2943" w:type="dxa"/>
          </w:tcPr>
          <w:p w14:paraId="0D0B2815" w14:textId="77777777" w:rsidR="00AD4317" w:rsidRPr="005B347F" w:rsidRDefault="00AD4317" w:rsidP="0033454E">
            <w:pPr>
              <w:widowControl/>
              <w:rPr>
                <w:color w:val="000000" w:themeColor="text1"/>
              </w:rPr>
            </w:pPr>
            <w:r w:rsidRPr="005B347F">
              <w:rPr>
                <w:color w:val="000000" w:themeColor="text1"/>
              </w:rPr>
              <w:t>DMPT</w:t>
            </w:r>
          </w:p>
        </w:tc>
        <w:tc>
          <w:tcPr>
            <w:tcW w:w="6299" w:type="dxa"/>
          </w:tcPr>
          <w:p w14:paraId="000D6471" w14:textId="77777777" w:rsidR="00AD4317" w:rsidRPr="005B347F" w:rsidRDefault="00AD4317" w:rsidP="0033454E">
            <w:pPr>
              <w:widowControl/>
              <w:rPr>
                <w:color w:val="000000" w:themeColor="text1"/>
              </w:rPr>
            </w:pPr>
            <w:r w:rsidRPr="005B347F">
              <w:rPr>
                <w:rFonts w:cs="Arial"/>
                <w:color w:val="000000" w:themeColor="text1"/>
                <w:szCs w:val="22"/>
              </w:rPr>
              <w:t>demethylphosphinothricin</w:t>
            </w:r>
          </w:p>
        </w:tc>
      </w:tr>
      <w:tr w:rsidR="00AD4317" w:rsidRPr="001B5342" w14:paraId="6F330B29" w14:textId="77777777" w:rsidTr="0033454E">
        <w:trPr>
          <w:trHeight w:val="283"/>
        </w:trPr>
        <w:tc>
          <w:tcPr>
            <w:tcW w:w="2943" w:type="dxa"/>
          </w:tcPr>
          <w:p w14:paraId="66692235" w14:textId="77777777" w:rsidR="00AD4317" w:rsidRPr="003112F3" w:rsidRDefault="00AD4317" w:rsidP="0033454E">
            <w:pPr>
              <w:widowControl/>
              <w:rPr>
                <w:color w:val="000000" w:themeColor="text1"/>
              </w:rPr>
            </w:pPr>
            <w:r w:rsidRPr="003112F3">
              <w:rPr>
                <w:color w:val="000000" w:themeColor="text1"/>
              </w:rPr>
              <w:t>DNA</w:t>
            </w:r>
          </w:p>
        </w:tc>
        <w:tc>
          <w:tcPr>
            <w:tcW w:w="6299" w:type="dxa"/>
          </w:tcPr>
          <w:p w14:paraId="6A5237C9" w14:textId="77777777" w:rsidR="00AD4317" w:rsidRPr="003112F3" w:rsidRDefault="00AD4317" w:rsidP="0033454E">
            <w:pPr>
              <w:widowControl/>
              <w:rPr>
                <w:color w:val="000000" w:themeColor="text1"/>
              </w:rPr>
            </w:pPr>
            <w:r w:rsidRPr="003112F3">
              <w:rPr>
                <w:color w:val="000000" w:themeColor="text1"/>
              </w:rPr>
              <w:t>deoxyribonucleic acid</w:t>
            </w:r>
          </w:p>
        </w:tc>
      </w:tr>
      <w:tr w:rsidR="00AD4317" w:rsidRPr="001B5342" w14:paraId="20BC2DD5" w14:textId="77777777" w:rsidTr="0033454E">
        <w:trPr>
          <w:trHeight w:val="283"/>
        </w:trPr>
        <w:tc>
          <w:tcPr>
            <w:tcW w:w="2943" w:type="dxa"/>
          </w:tcPr>
          <w:p w14:paraId="14400860" w14:textId="77777777" w:rsidR="00AD4317" w:rsidRPr="00062305" w:rsidRDefault="00AD4317" w:rsidP="0033454E">
            <w:pPr>
              <w:widowControl/>
              <w:rPr>
                <w:color w:val="000000" w:themeColor="text1"/>
              </w:rPr>
            </w:pPr>
            <w:r w:rsidRPr="00062305">
              <w:rPr>
                <w:color w:val="000000" w:themeColor="text1"/>
              </w:rPr>
              <w:t>dw</w:t>
            </w:r>
          </w:p>
        </w:tc>
        <w:tc>
          <w:tcPr>
            <w:tcW w:w="6299" w:type="dxa"/>
          </w:tcPr>
          <w:p w14:paraId="778E14AD" w14:textId="77777777" w:rsidR="00AD4317" w:rsidRPr="00062305" w:rsidRDefault="00AD4317" w:rsidP="0033454E">
            <w:pPr>
              <w:widowControl/>
              <w:rPr>
                <w:color w:val="000000" w:themeColor="text1"/>
              </w:rPr>
            </w:pPr>
            <w:r w:rsidRPr="00062305">
              <w:rPr>
                <w:color w:val="000000" w:themeColor="text1"/>
              </w:rPr>
              <w:t>dry weight</w:t>
            </w:r>
          </w:p>
        </w:tc>
      </w:tr>
      <w:tr w:rsidR="00AD4317" w:rsidRPr="001B5342" w14:paraId="7C11E022" w14:textId="77777777" w:rsidTr="0033454E">
        <w:trPr>
          <w:trHeight w:val="283"/>
        </w:trPr>
        <w:tc>
          <w:tcPr>
            <w:tcW w:w="2943" w:type="dxa"/>
          </w:tcPr>
          <w:p w14:paraId="6E36F6F4" w14:textId="77777777" w:rsidR="00AD4317" w:rsidRPr="00062305" w:rsidRDefault="00AD4317" w:rsidP="0033454E">
            <w:pPr>
              <w:widowControl/>
              <w:rPr>
                <w:color w:val="000000" w:themeColor="text1"/>
              </w:rPr>
            </w:pPr>
            <w:r w:rsidRPr="00062305">
              <w:rPr>
                <w:color w:val="000000" w:themeColor="text1"/>
              </w:rPr>
              <w:t>ELISA</w:t>
            </w:r>
          </w:p>
        </w:tc>
        <w:tc>
          <w:tcPr>
            <w:tcW w:w="6299" w:type="dxa"/>
          </w:tcPr>
          <w:p w14:paraId="4DACDFC8" w14:textId="77777777" w:rsidR="00AD4317" w:rsidRPr="00062305" w:rsidRDefault="00AD4317" w:rsidP="0033454E">
            <w:pPr>
              <w:widowControl/>
              <w:rPr>
                <w:color w:val="000000" w:themeColor="text1"/>
              </w:rPr>
            </w:pPr>
            <w:r w:rsidRPr="00062305">
              <w:rPr>
                <w:color w:val="000000" w:themeColor="text1"/>
              </w:rPr>
              <w:t>enzyme linked immunosorbent assay</w:t>
            </w:r>
          </w:p>
        </w:tc>
      </w:tr>
      <w:tr w:rsidR="00AD4317" w:rsidRPr="001B5342" w14:paraId="71531BDF" w14:textId="77777777" w:rsidTr="0033454E">
        <w:trPr>
          <w:trHeight w:val="283"/>
        </w:trPr>
        <w:tc>
          <w:tcPr>
            <w:tcW w:w="2943" w:type="dxa"/>
          </w:tcPr>
          <w:p w14:paraId="54D06871" w14:textId="77777777" w:rsidR="00AD4317" w:rsidRPr="003112F3" w:rsidRDefault="00AD4317" w:rsidP="0033454E">
            <w:pPr>
              <w:widowControl/>
              <w:rPr>
                <w:color w:val="000000" w:themeColor="text1"/>
              </w:rPr>
            </w:pPr>
            <w:r>
              <w:rPr>
                <w:color w:val="000000" w:themeColor="text1"/>
              </w:rPr>
              <w:t>EMBOSS</w:t>
            </w:r>
          </w:p>
        </w:tc>
        <w:tc>
          <w:tcPr>
            <w:tcW w:w="6299" w:type="dxa"/>
          </w:tcPr>
          <w:p w14:paraId="5A43AD10" w14:textId="77777777" w:rsidR="00AD4317" w:rsidRPr="003112F3" w:rsidRDefault="00AD4317" w:rsidP="0033454E">
            <w:pPr>
              <w:widowControl/>
              <w:rPr>
                <w:color w:val="000000" w:themeColor="text1"/>
              </w:rPr>
            </w:pPr>
            <w:r>
              <w:rPr>
                <w:color w:val="000000" w:themeColor="text1"/>
              </w:rPr>
              <w:t>European Molecular Biology Open Software Suite</w:t>
            </w:r>
          </w:p>
        </w:tc>
      </w:tr>
      <w:tr w:rsidR="00AD4317" w:rsidRPr="001B5342" w14:paraId="2B888774" w14:textId="77777777" w:rsidTr="0033454E">
        <w:trPr>
          <w:trHeight w:val="283"/>
        </w:trPr>
        <w:tc>
          <w:tcPr>
            <w:tcW w:w="2943" w:type="dxa"/>
          </w:tcPr>
          <w:p w14:paraId="1C612AC8" w14:textId="77777777" w:rsidR="00AD4317" w:rsidRPr="003112F3" w:rsidRDefault="00AD4317" w:rsidP="0033454E">
            <w:pPr>
              <w:widowControl/>
              <w:rPr>
                <w:color w:val="000000" w:themeColor="text1"/>
              </w:rPr>
            </w:pPr>
            <w:r w:rsidRPr="003112F3">
              <w:rPr>
                <w:color w:val="000000" w:themeColor="text1"/>
              </w:rPr>
              <w:t>FAO</w:t>
            </w:r>
          </w:p>
        </w:tc>
        <w:tc>
          <w:tcPr>
            <w:tcW w:w="6299" w:type="dxa"/>
          </w:tcPr>
          <w:p w14:paraId="56B2FC5E" w14:textId="77777777" w:rsidR="00AD4317" w:rsidRPr="003112F3" w:rsidRDefault="00AD4317" w:rsidP="0033454E">
            <w:pPr>
              <w:widowControl/>
              <w:rPr>
                <w:color w:val="000000" w:themeColor="text1"/>
              </w:rPr>
            </w:pPr>
            <w:r w:rsidRPr="003112F3">
              <w:rPr>
                <w:color w:val="000000" w:themeColor="text1"/>
              </w:rPr>
              <w:t>Food &amp; Agricultural Organization of the United Nations</w:t>
            </w:r>
          </w:p>
        </w:tc>
      </w:tr>
      <w:tr w:rsidR="00AD4317" w:rsidRPr="001B5342" w14:paraId="56D83E90" w14:textId="77777777" w:rsidTr="0033454E">
        <w:trPr>
          <w:trHeight w:val="283"/>
        </w:trPr>
        <w:tc>
          <w:tcPr>
            <w:tcW w:w="2943" w:type="dxa"/>
          </w:tcPr>
          <w:p w14:paraId="2FC136CC" w14:textId="77777777" w:rsidR="00AD4317" w:rsidRPr="00624B64" w:rsidRDefault="00AD4317" w:rsidP="0033454E">
            <w:pPr>
              <w:widowControl/>
              <w:rPr>
                <w:color w:val="000000" w:themeColor="text1"/>
              </w:rPr>
            </w:pPr>
            <w:r w:rsidRPr="00624B64">
              <w:rPr>
                <w:color w:val="000000" w:themeColor="text1"/>
              </w:rPr>
              <w:t>FARRP</w:t>
            </w:r>
          </w:p>
        </w:tc>
        <w:tc>
          <w:tcPr>
            <w:tcW w:w="6299" w:type="dxa"/>
          </w:tcPr>
          <w:p w14:paraId="225FF8CB" w14:textId="77777777" w:rsidR="00AD4317" w:rsidRPr="00624B64" w:rsidRDefault="00AD4317" w:rsidP="0033454E">
            <w:pPr>
              <w:widowControl/>
              <w:rPr>
                <w:rFonts w:cs="Arial"/>
                <w:color w:val="000000" w:themeColor="text1"/>
                <w:szCs w:val="22"/>
              </w:rPr>
            </w:pPr>
            <w:r w:rsidRPr="00624B64">
              <w:rPr>
                <w:color w:val="000000" w:themeColor="text1"/>
                <w:lang w:val="en-AU"/>
              </w:rPr>
              <w:t>Food Allergy Research and Resource Program</w:t>
            </w:r>
          </w:p>
        </w:tc>
      </w:tr>
      <w:tr w:rsidR="00AD4317" w:rsidRPr="001B5342" w14:paraId="66BC8B95" w14:textId="77777777" w:rsidTr="0033454E">
        <w:trPr>
          <w:trHeight w:val="283"/>
        </w:trPr>
        <w:tc>
          <w:tcPr>
            <w:tcW w:w="2943" w:type="dxa"/>
          </w:tcPr>
          <w:p w14:paraId="40E50AB5" w14:textId="77777777" w:rsidR="00AD4317" w:rsidRPr="00773BED" w:rsidRDefault="00AD4317" w:rsidP="0033454E">
            <w:pPr>
              <w:widowControl/>
              <w:rPr>
                <w:color w:val="000000" w:themeColor="text1"/>
              </w:rPr>
            </w:pPr>
            <w:r w:rsidRPr="00773BED">
              <w:rPr>
                <w:color w:val="000000" w:themeColor="text1"/>
              </w:rPr>
              <w:t>FASTA</w:t>
            </w:r>
          </w:p>
        </w:tc>
        <w:tc>
          <w:tcPr>
            <w:tcW w:w="6299" w:type="dxa"/>
          </w:tcPr>
          <w:p w14:paraId="2DD886EA" w14:textId="77777777" w:rsidR="00AD4317" w:rsidRPr="00773BED" w:rsidRDefault="00AD4317" w:rsidP="0033454E">
            <w:pPr>
              <w:widowControl/>
              <w:rPr>
                <w:rFonts w:cs="Arial"/>
                <w:color w:val="000000" w:themeColor="text1"/>
                <w:szCs w:val="22"/>
              </w:rPr>
            </w:pPr>
            <w:r w:rsidRPr="00773BED">
              <w:rPr>
                <w:rFonts w:cs="Arial"/>
                <w:color w:val="000000" w:themeColor="text1"/>
                <w:szCs w:val="22"/>
              </w:rPr>
              <w:t>Fast Alignment Search Tool – All</w:t>
            </w:r>
          </w:p>
        </w:tc>
      </w:tr>
      <w:tr w:rsidR="00AD4317" w:rsidRPr="001B5342" w14:paraId="0E5D4BF4" w14:textId="77777777" w:rsidTr="0033454E">
        <w:trPr>
          <w:trHeight w:val="283"/>
        </w:trPr>
        <w:tc>
          <w:tcPr>
            <w:tcW w:w="2943" w:type="dxa"/>
          </w:tcPr>
          <w:p w14:paraId="6A43C564" w14:textId="77777777" w:rsidR="00AD4317" w:rsidRPr="00CA3AF5" w:rsidRDefault="00AD4317" w:rsidP="0033454E">
            <w:pPr>
              <w:widowControl/>
              <w:rPr>
                <w:color w:val="000000" w:themeColor="text1"/>
              </w:rPr>
            </w:pPr>
            <w:r w:rsidRPr="00CA3AF5">
              <w:rPr>
                <w:color w:val="000000" w:themeColor="text1"/>
              </w:rPr>
              <w:t>FSANZ</w:t>
            </w:r>
          </w:p>
        </w:tc>
        <w:tc>
          <w:tcPr>
            <w:tcW w:w="6299" w:type="dxa"/>
          </w:tcPr>
          <w:p w14:paraId="44F88D9B" w14:textId="77777777" w:rsidR="00AD4317" w:rsidRPr="00CA3AF5" w:rsidRDefault="00AD4317" w:rsidP="0033454E">
            <w:pPr>
              <w:widowControl/>
              <w:rPr>
                <w:color w:val="000000" w:themeColor="text1"/>
              </w:rPr>
            </w:pPr>
            <w:r w:rsidRPr="00CA3AF5">
              <w:rPr>
                <w:color w:val="000000" w:themeColor="text1"/>
              </w:rPr>
              <w:t>Food Standards Australia New Zealand</w:t>
            </w:r>
          </w:p>
        </w:tc>
      </w:tr>
      <w:tr w:rsidR="00AD4317" w:rsidRPr="001B5342" w14:paraId="2BD26A1A" w14:textId="77777777" w:rsidTr="0033454E">
        <w:trPr>
          <w:trHeight w:val="283"/>
        </w:trPr>
        <w:tc>
          <w:tcPr>
            <w:tcW w:w="2943" w:type="dxa"/>
          </w:tcPr>
          <w:p w14:paraId="2C377E8C" w14:textId="77777777" w:rsidR="00AD4317" w:rsidRPr="00575A12" w:rsidRDefault="00AD4317" w:rsidP="0033454E">
            <w:pPr>
              <w:widowControl/>
              <w:rPr>
                <w:color w:val="000000" w:themeColor="text1"/>
              </w:rPr>
            </w:pPr>
            <w:r w:rsidRPr="00575A12">
              <w:rPr>
                <w:color w:val="000000" w:themeColor="text1"/>
              </w:rPr>
              <w:t>fw</w:t>
            </w:r>
          </w:p>
        </w:tc>
        <w:tc>
          <w:tcPr>
            <w:tcW w:w="6299" w:type="dxa"/>
          </w:tcPr>
          <w:p w14:paraId="67FE8F75" w14:textId="77777777" w:rsidR="00AD4317" w:rsidRPr="00575A12" w:rsidRDefault="00AD4317" w:rsidP="0033454E">
            <w:pPr>
              <w:widowControl/>
              <w:rPr>
                <w:color w:val="000000" w:themeColor="text1"/>
              </w:rPr>
            </w:pPr>
            <w:r w:rsidRPr="00575A12">
              <w:rPr>
                <w:color w:val="000000" w:themeColor="text1"/>
              </w:rPr>
              <w:t>fresh weight</w:t>
            </w:r>
          </w:p>
        </w:tc>
      </w:tr>
      <w:tr w:rsidR="00AD4317" w:rsidRPr="001B5342" w14:paraId="0D106E7D" w14:textId="77777777" w:rsidTr="0033454E">
        <w:trPr>
          <w:trHeight w:val="283"/>
        </w:trPr>
        <w:tc>
          <w:tcPr>
            <w:tcW w:w="2943" w:type="dxa"/>
          </w:tcPr>
          <w:p w14:paraId="423D1ED1" w14:textId="77777777" w:rsidR="00AD4317" w:rsidRPr="00062305" w:rsidRDefault="00AD4317" w:rsidP="0033454E">
            <w:pPr>
              <w:widowControl/>
              <w:rPr>
                <w:color w:val="000000" w:themeColor="text1"/>
              </w:rPr>
            </w:pPr>
            <w:r w:rsidRPr="00062305">
              <w:rPr>
                <w:color w:val="000000" w:themeColor="text1"/>
              </w:rPr>
              <w:t>g</w:t>
            </w:r>
          </w:p>
        </w:tc>
        <w:tc>
          <w:tcPr>
            <w:tcW w:w="6299" w:type="dxa"/>
          </w:tcPr>
          <w:p w14:paraId="3DD41AAF" w14:textId="77777777" w:rsidR="00AD4317" w:rsidRPr="00062305" w:rsidRDefault="00AD4317" w:rsidP="0033454E">
            <w:pPr>
              <w:widowControl/>
              <w:rPr>
                <w:color w:val="000000" w:themeColor="text1"/>
              </w:rPr>
            </w:pPr>
            <w:r w:rsidRPr="00062305">
              <w:rPr>
                <w:color w:val="000000" w:themeColor="text1"/>
              </w:rPr>
              <w:t>gram</w:t>
            </w:r>
          </w:p>
        </w:tc>
      </w:tr>
      <w:tr w:rsidR="00AD4317" w:rsidRPr="001B5342" w14:paraId="7CE0C89F" w14:textId="77777777" w:rsidTr="0033454E">
        <w:trPr>
          <w:trHeight w:val="283"/>
        </w:trPr>
        <w:tc>
          <w:tcPr>
            <w:tcW w:w="2943" w:type="dxa"/>
          </w:tcPr>
          <w:p w14:paraId="4A6B6CC1" w14:textId="77777777" w:rsidR="00AD4317" w:rsidRPr="00CA3AF5" w:rsidRDefault="00AD4317" w:rsidP="0033454E">
            <w:pPr>
              <w:widowControl/>
              <w:rPr>
                <w:color w:val="000000" w:themeColor="text1"/>
              </w:rPr>
            </w:pPr>
            <w:r w:rsidRPr="00CA3AF5">
              <w:rPr>
                <w:color w:val="000000" w:themeColor="text1"/>
              </w:rPr>
              <w:t>GM</w:t>
            </w:r>
          </w:p>
        </w:tc>
        <w:tc>
          <w:tcPr>
            <w:tcW w:w="6299" w:type="dxa"/>
          </w:tcPr>
          <w:p w14:paraId="1637FC8F" w14:textId="77777777" w:rsidR="00AD4317" w:rsidRPr="00CA3AF5" w:rsidRDefault="00AD4317" w:rsidP="0033454E">
            <w:pPr>
              <w:widowControl/>
              <w:rPr>
                <w:color w:val="000000" w:themeColor="text1"/>
              </w:rPr>
            </w:pPr>
            <w:r w:rsidRPr="00CA3AF5">
              <w:rPr>
                <w:color w:val="000000" w:themeColor="text1"/>
              </w:rPr>
              <w:t>genetically modified</w:t>
            </w:r>
          </w:p>
        </w:tc>
      </w:tr>
      <w:tr w:rsidR="00AD4317" w:rsidRPr="001B5342" w14:paraId="081D6035" w14:textId="77777777" w:rsidTr="0033454E">
        <w:trPr>
          <w:trHeight w:val="283"/>
        </w:trPr>
        <w:tc>
          <w:tcPr>
            <w:tcW w:w="2943" w:type="dxa"/>
          </w:tcPr>
          <w:p w14:paraId="567D7153" w14:textId="77777777" w:rsidR="00AD4317" w:rsidRPr="00062305" w:rsidRDefault="00AD4317" w:rsidP="0033454E">
            <w:pPr>
              <w:widowControl/>
              <w:rPr>
                <w:color w:val="000000" w:themeColor="text1"/>
              </w:rPr>
            </w:pPr>
            <w:r w:rsidRPr="00062305">
              <w:rPr>
                <w:color w:val="000000" w:themeColor="text1"/>
              </w:rPr>
              <w:t>HPLC</w:t>
            </w:r>
          </w:p>
        </w:tc>
        <w:tc>
          <w:tcPr>
            <w:tcW w:w="6299" w:type="dxa"/>
          </w:tcPr>
          <w:p w14:paraId="257156D8" w14:textId="77777777" w:rsidR="00AD4317" w:rsidRPr="00062305" w:rsidRDefault="00AD4317" w:rsidP="0033454E">
            <w:pPr>
              <w:widowControl/>
              <w:rPr>
                <w:color w:val="000000" w:themeColor="text1"/>
              </w:rPr>
            </w:pPr>
            <w:r w:rsidRPr="00062305">
              <w:rPr>
                <w:color w:val="000000" w:themeColor="text1"/>
              </w:rPr>
              <w:t>high performance liquid chromatography</w:t>
            </w:r>
          </w:p>
        </w:tc>
      </w:tr>
      <w:tr w:rsidR="00AD4317" w:rsidRPr="001B5342" w14:paraId="6D5AD753" w14:textId="77777777" w:rsidTr="0033454E">
        <w:trPr>
          <w:trHeight w:val="283"/>
        </w:trPr>
        <w:tc>
          <w:tcPr>
            <w:tcW w:w="2943" w:type="dxa"/>
          </w:tcPr>
          <w:p w14:paraId="6A008C85" w14:textId="77777777" w:rsidR="00AD4317" w:rsidRPr="009B1A04" w:rsidRDefault="00AD4317" w:rsidP="0033454E">
            <w:pPr>
              <w:widowControl/>
              <w:rPr>
                <w:color w:val="000000" w:themeColor="text1"/>
              </w:rPr>
            </w:pPr>
            <w:r w:rsidRPr="009B1A04">
              <w:rPr>
                <w:color w:val="000000" w:themeColor="text1"/>
              </w:rPr>
              <w:t>HRP</w:t>
            </w:r>
          </w:p>
        </w:tc>
        <w:tc>
          <w:tcPr>
            <w:tcW w:w="6299" w:type="dxa"/>
          </w:tcPr>
          <w:p w14:paraId="321BBE28" w14:textId="77777777" w:rsidR="00AD4317" w:rsidRPr="009B1A04" w:rsidRDefault="00AD4317" w:rsidP="0033454E">
            <w:pPr>
              <w:widowControl/>
              <w:rPr>
                <w:rFonts w:cs="Arial"/>
                <w:color w:val="000000" w:themeColor="text1"/>
                <w:szCs w:val="22"/>
              </w:rPr>
            </w:pPr>
            <w:r w:rsidRPr="009B1A04">
              <w:rPr>
                <w:rFonts w:ascii="CharterBT-Roman" w:hAnsi="CharterBT-Roman" w:cs="CharterBT-Roman"/>
                <w:color w:val="000000" w:themeColor="text1"/>
                <w:szCs w:val="22"/>
                <w:lang w:eastAsia="en-GB" w:bidi="ar-SA"/>
              </w:rPr>
              <w:t>horseradish peroxidase</w:t>
            </w:r>
          </w:p>
        </w:tc>
      </w:tr>
      <w:tr w:rsidR="00AD4317" w:rsidRPr="001B5342" w14:paraId="7CF55864" w14:textId="77777777" w:rsidTr="0033454E">
        <w:trPr>
          <w:trHeight w:val="283"/>
        </w:trPr>
        <w:tc>
          <w:tcPr>
            <w:tcW w:w="2943" w:type="dxa"/>
          </w:tcPr>
          <w:p w14:paraId="51038057" w14:textId="77777777" w:rsidR="00AD4317" w:rsidRPr="00773BED" w:rsidRDefault="00AD4317" w:rsidP="0033454E">
            <w:pPr>
              <w:widowControl/>
              <w:rPr>
                <w:color w:val="000000" w:themeColor="text1"/>
                <w:vertAlign w:val="subscript"/>
              </w:rPr>
            </w:pPr>
            <w:r w:rsidRPr="00773BED">
              <w:rPr>
                <w:color w:val="000000" w:themeColor="text1"/>
              </w:rPr>
              <w:t>IC</w:t>
            </w:r>
            <w:r w:rsidRPr="00773BED">
              <w:rPr>
                <w:color w:val="000000" w:themeColor="text1"/>
                <w:vertAlign w:val="subscript"/>
              </w:rPr>
              <w:t>50</w:t>
            </w:r>
          </w:p>
        </w:tc>
        <w:tc>
          <w:tcPr>
            <w:tcW w:w="6299" w:type="dxa"/>
          </w:tcPr>
          <w:p w14:paraId="0E5F66BF" w14:textId="77777777" w:rsidR="00AD4317" w:rsidRPr="00773BED" w:rsidRDefault="00AD4317" w:rsidP="0033454E">
            <w:pPr>
              <w:widowControl/>
              <w:rPr>
                <w:rFonts w:cs="Arial"/>
                <w:color w:val="000000" w:themeColor="text1"/>
                <w:szCs w:val="22"/>
              </w:rPr>
            </w:pPr>
            <w:r w:rsidRPr="00773BED">
              <w:rPr>
                <w:rFonts w:cs="Arial"/>
                <w:color w:val="000000" w:themeColor="text1"/>
                <w:szCs w:val="22"/>
                <w:lang w:eastAsia="en-GB" w:bidi="ar-SA"/>
              </w:rPr>
              <w:t>half maximal inhibitory concentration</w:t>
            </w:r>
          </w:p>
        </w:tc>
      </w:tr>
      <w:tr w:rsidR="00AD4317" w:rsidRPr="001B5342" w14:paraId="381F40F3" w14:textId="77777777" w:rsidTr="0033454E">
        <w:trPr>
          <w:trHeight w:val="283"/>
        </w:trPr>
        <w:tc>
          <w:tcPr>
            <w:tcW w:w="2943" w:type="dxa"/>
          </w:tcPr>
          <w:p w14:paraId="6B4CFE92" w14:textId="77777777" w:rsidR="00AD4317" w:rsidRPr="00575A12" w:rsidRDefault="00AD4317" w:rsidP="0033454E">
            <w:pPr>
              <w:widowControl/>
              <w:rPr>
                <w:color w:val="000000" w:themeColor="text1"/>
              </w:rPr>
            </w:pPr>
            <w:r w:rsidRPr="00575A12">
              <w:rPr>
                <w:color w:val="000000" w:themeColor="text1"/>
              </w:rPr>
              <w:t>kb</w:t>
            </w:r>
          </w:p>
        </w:tc>
        <w:tc>
          <w:tcPr>
            <w:tcW w:w="6299" w:type="dxa"/>
          </w:tcPr>
          <w:p w14:paraId="03CF05D4" w14:textId="77777777" w:rsidR="00AD4317" w:rsidRPr="00575A12" w:rsidRDefault="00AD4317" w:rsidP="0033454E">
            <w:pPr>
              <w:widowControl/>
              <w:rPr>
                <w:color w:val="000000" w:themeColor="text1"/>
              </w:rPr>
            </w:pPr>
            <w:r w:rsidRPr="00575A12">
              <w:rPr>
                <w:color w:val="000000" w:themeColor="text1"/>
              </w:rPr>
              <w:t>kilo base</w:t>
            </w:r>
          </w:p>
        </w:tc>
      </w:tr>
      <w:tr w:rsidR="00AD4317" w:rsidRPr="001B5342" w14:paraId="631263F2" w14:textId="77777777" w:rsidTr="0033454E">
        <w:trPr>
          <w:trHeight w:val="283"/>
        </w:trPr>
        <w:tc>
          <w:tcPr>
            <w:tcW w:w="2943" w:type="dxa"/>
          </w:tcPr>
          <w:p w14:paraId="220B8731" w14:textId="77777777" w:rsidR="00AD4317" w:rsidRPr="005B347F" w:rsidRDefault="00AD4317" w:rsidP="0033454E">
            <w:pPr>
              <w:widowControl/>
              <w:rPr>
                <w:color w:val="000000" w:themeColor="text1"/>
              </w:rPr>
            </w:pPr>
            <w:r w:rsidRPr="005B347F">
              <w:rPr>
                <w:color w:val="000000" w:themeColor="text1"/>
              </w:rPr>
              <w:t>kDa</w:t>
            </w:r>
          </w:p>
        </w:tc>
        <w:tc>
          <w:tcPr>
            <w:tcW w:w="6299" w:type="dxa"/>
          </w:tcPr>
          <w:p w14:paraId="2F4E1F45" w14:textId="77777777" w:rsidR="00AD4317" w:rsidRPr="005B347F" w:rsidRDefault="00AD4317" w:rsidP="0033454E">
            <w:pPr>
              <w:widowControl/>
              <w:rPr>
                <w:color w:val="000000" w:themeColor="text1"/>
              </w:rPr>
            </w:pPr>
            <w:r w:rsidRPr="005B347F">
              <w:rPr>
                <w:color w:val="000000" w:themeColor="text1"/>
              </w:rPr>
              <w:t>kilo Dalton</w:t>
            </w:r>
          </w:p>
        </w:tc>
      </w:tr>
      <w:tr w:rsidR="00AD4317" w:rsidRPr="001B5342" w14:paraId="59D003F1" w14:textId="77777777" w:rsidTr="0033454E">
        <w:trPr>
          <w:trHeight w:val="283"/>
        </w:trPr>
        <w:tc>
          <w:tcPr>
            <w:tcW w:w="2943" w:type="dxa"/>
          </w:tcPr>
          <w:p w14:paraId="53911880" w14:textId="77777777" w:rsidR="00AD4317" w:rsidRPr="00575A12" w:rsidRDefault="00AD4317" w:rsidP="0033454E">
            <w:pPr>
              <w:widowControl/>
              <w:rPr>
                <w:color w:val="000000" w:themeColor="text1"/>
              </w:rPr>
            </w:pPr>
            <w:r w:rsidRPr="00575A12">
              <w:rPr>
                <w:color w:val="000000" w:themeColor="text1"/>
              </w:rPr>
              <w:t>kg</w:t>
            </w:r>
          </w:p>
        </w:tc>
        <w:tc>
          <w:tcPr>
            <w:tcW w:w="6299" w:type="dxa"/>
          </w:tcPr>
          <w:p w14:paraId="0065BB53" w14:textId="77777777" w:rsidR="00AD4317" w:rsidRPr="00575A12" w:rsidRDefault="00AD4317" w:rsidP="0033454E">
            <w:pPr>
              <w:widowControl/>
              <w:rPr>
                <w:rFonts w:ascii="CharterBT-Roman" w:hAnsi="CharterBT-Roman" w:cs="CharterBT-Roman"/>
                <w:color w:val="000000" w:themeColor="text1"/>
                <w:szCs w:val="22"/>
                <w:lang w:eastAsia="en-GB" w:bidi="ar-SA"/>
              </w:rPr>
            </w:pPr>
            <w:r w:rsidRPr="00575A12">
              <w:rPr>
                <w:rFonts w:ascii="CharterBT-Roman" w:hAnsi="CharterBT-Roman" w:cs="CharterBT-Roman"/>
                <w:color w:val="000000" w:themeColor="text1"/>
                <w:szCs w:val="22"/>
                <w:lang w:eastAsia="en-GB" w:bidi="ar-SA"/>
              </w:rPr>
              <w:t>kilogram</w:t>
            </w:r>
          </w:p>
        </w:tc>
      </w:tr>
      <w:tr w:rsidR="00AD4317" w:rsidRPr="001B5342" w14:paraId="0838E02D" w14:textId="77777777" w:rsidTr="0033454E">
        <w:trPr>
          <w:trHeight w:val="283"/>
        </w:trPr>
        <w:tc>
          <w:tcPr>
            <w:tcW w:w="2943" w:type="dxa"/>
          </w:tcPr>
          <w:p w14:paraId="1C341583" w14:textId="77777777" w:rsidR="00AD4317" w:rsidRPr="003112F3" w:rsidRDefault="00AD4317" w:rsidP="0033454E">
            <w:pPr>
              <w:widowControl/>
              <w:rPr>
                <w:color w:val="000000" w:themeColor="text1"/>
              </w:rPr>
            </w:pPr>
            <w:r w:rsidRPr="003112F3">
              <w:rPr>
                <w:color w:val="000000" w:themeColor="text1"/>
              </w:rPr>
              <w:t>LB</w:t>
            </w:r>
          </w:p>
        </w:tc>
        <w:tc>
          <w:tcPr>
            <w:tcW w:w="6299" w:type="dxa"/>
          </w:tcPr>
          <w:p w14:paraId="152A061A" w14:textId="77777777" w:rsidR="00AD4317" w:rsidRPr="003112F3" w:rsidRDefault="00AD4317" w:rsidP="0033454E">
            <w:pPr>
              <w:widowControl/>
              <w:rPr>
                <w:color w:val="000000" w:themeColor="text1"/>
              </w:rPr>
            </w:pPr>
            <w:r w:rsidRPr="003112F3">
              <w:rPr>
                <w:color w:val="000000" w:themeColor="text1"/>
              </w:rPr>
              <w:t>Left Border of T-DNA (</w:t>
            </w:r>
            <w:r w:rsidRPr="003112F3">
              <w:rPr>
                <w:i/>
                <w:color w:val="000000" w:themeColor="text1"/>
              </w:rPr>
              <w:t>Agrobacterium tumefaciens</w:t>
            </w:r>
            <w:r w:rsidRPr="003112F3">
              <w:rPr>
                <w:color w:val="000000" w:themeColor="text1"/>
              </w:rPr>
              <w:t>)</w:t>
            </w:r>
          </w:p>
        </w:tc>
      </w:tr>
      <w:tr w:rsidR="00AD4317" w:rsidRPr="001B5342" w14:paraId="36AB128B" w14:textId="77777777" w:rsidTr="0033454E">
        <w:trPr>
          <w:trHeight w:val="283"/>
        </w:trPr>
        <w:tc>
          <w:tcPr>
            <w:tcW w:w="2943" w:type="dxa"/>
          </w:tcPr>
          <w:p w14:paraId="08FCD1D4" w14:textId="77777777" w:rsidR="00AD4317" w:rsidRPr="00062305" w:rsidRDefault="00AD4317" w:rsidP="0033454E">
            <w:pPr>
              <w:widowControl/>
              <w:rPr>
                <w:color w:val="000000" w:themeColor="text1"/>
              </w:rPr>
            </w:pPr>
            <w:r>
              <w:rPr>
                <w:color w:val="000000" w:themeColor="text1"/>
              </w:rPr>
              <w:t>LC</w:t>
            </w:r>
          </w:p>
        </w:tc>
        <w:tc>
          <w:tcPr>
            <w:tcW w:w="6299" w:type="dxa"/>
          </w:tcPr>
          <w:p w14:paraId="660A5D52" w14:textId="77777777" w:rsidR="00AD4317" w:rsidRPr="00062305" w:rsidRDefault="00AD4317" w:rsidP="0033454E">
            <w:pPr>
              <w:widowControl/>
              <w:rPr>
                <w:color w:val="000000" w:themeColor="text1"/>
              </w:rPr>
            </w:pPr>
            <w:r>
              <w:rPr>
                <w:color w:val="000000" w:themeColor="text1"/>
              </w:rPr>
              <w:t>liquid chromatography</w:t>
            </w:r>
          </w:p>
        </w:tc>
      </w:tr>
      <w:tr w:rsidR="00AD4317" w:rsidRPr="001B5342" w14:paraId="09EB2959" w14:textId="77777777" w:rsidTr="0033454E">
        <w:trPr>
          <w:trHeight w:val="283"/>
        </w:trPr>
        <w:tc>
          <w:tcPr>
            <w:tcW w:w="2943" w:type="dxa"/>
          </w:tcPr>
          <w:p w14:paraId="5BF32CB8" w14:textId="77777777" w:rsidR="00AD4317" w:rsidRPr="00062305" w:rsidRDefault="00AD4317" w:rsidP="0033454E">
            <w:pPr>
              <w:widowControl/>
              <w:rPr>
                <w:color w:val="000000" w:themeColor="text1"/>
              </w:rPr>
            </w:pPr>
            <w:r w:rsidRPr="00062305">
              <w:rPr>
                <w:color w:val="000000" w:themeColor="text1"/>
              </w:rPr>
              <w:t>LOQ</w:t>
            </w:r>
          </w:p>
        </w:tc>
        <w:tc>
          <w:tcPr>
            <w:tcW w:w="6299" w:type="dxa"/>
          </w:tcPr>
          <w:p w14:paraId="1B0780F6" w14:textId="77777777" w:rsidR="00AD4317" w:rsidRPr="00062305" w:rsidRDefault="00AD4317" w:rsidP="0033454E">
            <w:pPr>
              <w:widowControl/>
              <w:rPr>
                <w:color w:val="000000" w:themeColor="text1"/>
              </w:rPr>
            </w:pPr>
            <w:r w:rsidRPr="00062305">
              <w:rPr>
                <w:color w:val="000000" w:themeColor="text1"/>
              </w:rPr>
              <w:t>limit of quantification</w:t>
            </w:r>
          </w:p>
        </w:tc>
      </w:tr>
      <w:tr w:rsidR="00AD4317" w:rsidRPr="001B5342" w14:paraId="656FC21F" w14:textId="77777777" w:rsidTr="0033454E">
        <w:trPr>
          <w:trHeight w:val="283"/>
        </w:trPr>
        <w:tc>
          <w:tcPr>
            <w:tcW w:w="2943" w:type="dxa"/>
          </w:tcPr>
          <w:p w14:paraId="1D9DF5DA" w14:textId="77777777" w:rsidR="00AD4317" w:rsidRPr="00575A12" w:rsidRDefault="00AD4317" w:rsidP="0033454E">
            <w:pPr>
              <w:widowControl/>
              <w:rPr>
                <w:color w:val="000000" w:themeColor="text1"/>
              </w:rPr>
            </w:pPr>
            <w:r w:rsidRPr="00575A12">
              <w:rPr>
                <w:color w:val="000000" w:themeColor="text1"/>
              </w:rPr>
              <w:t>mg</w:t>
            </w:r>
          </w:p>
        </w:tc>
        <w:tc>
          <w:tcPr>
            <w:tcW w:w="6299" w:type="dxa"/>
          </w:tcPr>
          <w:p w14:paraId="4FED80B7" w14:textId="77777777" w:rsidR="00AD4317" w:rsidRPr="00575A12" w:rsidRDefault="00AD4317" w:rsidP="0033454E">
            <w:pPr>
              <w:widowControl/>
              <w:rPr>
                <w:color w:val="000000" w:themeColor="text1"/>
              </w:rPr>
            </w:pPr>
            <w:r w:rsidRPr="00575A12">
              <w:rPr>
                <w:color w:val="000000" w:themeColor="text1"/>
              </w:rPr>
              <w:t>milligram</w:t>
            </w:r>
          </w:p>
        </w:tc>
      </w:tr>
      <w:tr w:rsidR="00AD4317" w:rsidRPr="001B5342" w14:paraId="39309FD9" w14:textId="77777777" w:rsidTr="0033454E">
        <w:trPr>
          <w:trHeight w:val="283"/>
        </w:trPr>
        <w:tc>
          <w:tcPr>
            <w:tcW w:w="2943" w:type="dxa"/>
          </w:tcPr>
          <w:p w14:paraId="0B7710B5" w14:textId="77777777" w:rsidR="00AD4317" w:rsidRPr="003112F3" w:rsidRDefault="00AD4317" w:rsidP="0033454E">
            <w:pPr>
              <w:widowControl/>
              <w:rPr>
                <w:color w:val="000000" w:themeColor="text1"/>
              </w:rPr>
            </w:pPr>
            <w:r>
              <w:rPr>
                <w:color w:val="000000" w:themeColor="text1"/>
              </w:rPr>
              <w:t>MRL</w:t>
            </w:r>
          </w:p>
        </w:tc>
        <w:tc>
          <w:tcPr>
            <w:tcW w:w="6299" w:type="dxa"/>
          </w:tcPr>
          <w:p w14:paraId="71C8A360" w14:textId="77777777" w:rsidR="00AD4317" w:rsidRPr="003112F3" w:rsidRDefault="00AD4317" w:rsidP="0033454E">
            <w:pPr>
              <w:widowControl/>
              <w:rPr>
                <w:color w:val="000000" w:themeColor="text1"/>
              </w:rPr>
            </w:pPr>
            <w:r>
              <w:rPr>
                <w:color w:val="000000" w:themeColor="text1"/>
              </w:rPr>
              <w:t>Maximum residue limit</w:t>
            </w:r>
          </w:p>
        </w:tc>
      </w:tr>
      <w:tr w:rsidR="00AD4317" w:rsidRPr="001B5342" w14:paraId="58EFFD9A" w14:textId="77777777" w:rsidTr="0033454E">
        <w:trPr>
          <w:trHeight w:val="283"/>
        </w:trPr>
        <w:tc>
          <w:tcPr>
            <w:tcW w:w="2943" w:type="dxa"/>
          </w:tcPr>
          <w:p w14:paraId="197118FB" w14:textId="77777777" w:rsidR="00AD4317" w:rsidRPr="003112F3" w:rsidRDefault="00AD4317" w:rsidP="0033454E">
            <w:pPr>
              <w:widowControl/>
              <w:rPr>
                <w:color w:val="000000" w:themeColor="text1"/>
              </w:rPr>
            </w:pPr>
            <w:r w:rsidRPr="003112F3">
              <w:rPr>
                <w:color w:val="000000" w:themeColor="text1"/>
              </w:rPr>
              <w:t>MS</w:t>
            </w:r>
          </w:p>
        </w:tc>
        <w:tc>
          <w:tcPr>
            <w:tcW w:w="6299" w:type="dxa"/>
          </w:tcPr>
          <w:p w14:paraId="22D82429" w14:textId="77777777" w:rsidR="00AD4317" w:rsidRPr="003112F3" w:rsidRDefault="00AD4317" w:rsidP="0033454E">
            <w:pPr>
              <w:widowControl/>
              <w:rPr>
                <w:color w:val="000000" w:themeColor="text1"/>
              </w:rPr>
            </w:pPr>
            <w:r w:rsidRPr="003112F3">
              <w:rPr>
                <w:color w:val="000000" w:themeColor="text1"/>
              </w:rPr>
              <w:t>male sterile</w:t>
            </w:r>
            <w:r>
              <w:rPr>
                <w:color w:val="000000" w:themeColor="text1"/>
              </w:rPr>
              <w:t xml:space="preserve"> OR mass spectrometry</w:t>
            </w:r>
          </w:p>
        </w:tc>
      </w:tr>
      <w:tr w:rsidR="00AD4317" w:rsidRPr="001B5342" w14:paraId="40642018" w14:textId="77777777" w:rsidTr="0033454E">
        <w:trPr>
          <w:trHeight w:val="283"/>
        </w:trPr>
        <w:tc>
          <w:tcPr>
            <w:tcW w:w="2943" w:type="dxa"/>
          </w:tcPr>
          <w:p w14:paraId="09E0EC71" w14:textId="77777777" w:rsidR="00AD4317" w:rsidRPr="003112F3" w:rsidRDefault="00AD4317" w:rsidP="0033454E">
            <w:pPr>
              <w:widowControl/>
              <w:rPr>
                <w:color w:val="000000" w:themeColor="text1"/>
              </w:rPr>
            </w:pPr>
            <w:r w:rsidRPr="003112F3">
              <w:rPr>
                <w:color w:val="000000" w:themeColor="text1"/>
              </w:rPr>
              <w:t>MT</w:t>
            </w:r>
          </w:p>
        </w:tc>
        <w:tc>
          <w:tcPr>
            <w:tcW w:w="6299" w:type="dxa"/>
          </w:tcPr>
          <w:p w14:paraId="14DB6952" w14:textId="77777777" w:rsidR="00AD4317" w:rsidRPr="003112F3" w:rsidRDefault="00AD4317" w:rsidP="0033454E">
            <w:pPr>
              <w:widowControl/>
              <w:rPr>
                <w:color w:val="000000" w:themeColor="text1"/>
              </w:rPr>
            </w:pPr>
            <w:r w:rsidRPr="003112F3">
              <w:rPr>
                <w:color w:val="000000" w:themeColor="text1"/>
              </w:rPr>
              <w:t>Million tonnes</w:t>
            </w:r>
          </w:p>
        </w:tc>
      </w:tr>
      <w:tr w:rsidR="00AD4317" w:rsidRPr="001B5342" w14:paraId="614DF10C" w14:textId="77777777" w:rsidTr="0033454E">
        <w:trPr>
          <w:trHeight w:val="283"/>
        </w:trPr>
        <w:tc>
          <w:tcPr>
            <w:tcW w:w="2943" w:type="dxa"/>
          </w:tcPr>
          <w:p w14:paraId="5C300020" w14:textId="77777777" w:rsidR="00AD4317" w:rsidRPr="00773BED" w:rsidRDefault="00AD4317" w:rsidP="0033454E">
            <w:pPr>
              <w:widowControl/>
              <w:rPr>
                <w:color w:val="000000" w:themeColor="text1"/>
              </w:rPr>
            </w:pPr>
            <w:r w:rsidRPr="00773BED">
              <w:rPr>
                <w:color w:val="000000" w:themeColor="text1"/>
              </w:rPr>
              <w:t>NCBI</w:t>
            </w:r>
          </w:p>
        </w:tc>
        <w:tc>
          <w:tcPr>
            <w:tcW w:w="6299" w:type="dxa"/>
          </w:tcPr>
          <w:p w14:paraId="3881A970" w14:textId="77777777" w:rsidR="00AD4317" w:rsidRPr="00773BED" w:rsidRDefault="00AD4317" w:rsidP="0033454E">
            <w:pPr>
              <w:widowControl/>
              <w:rPr>
                <w:color w:val="000000" w:themeColor="text1"/>
              </w:rPr>
            </w:pPr>
            <w:r w:rsidRPr="00773BED">
              <w:rPr>
                <w:color w:val="000000" w:themeColor="text1"/>
              </w:rPr>
              <w:t>National Centre for Biotechnology Information</w:t>
            </w:r>
          </w:p>
        </w:tc>
      </w:tr>
      <w:tr w:rsidR="00AD4317" w:rsidRPr="001B5342" w14:paraId="5D6BDC68" w14:textId="77777777" w:rsidTr="0033454E">
        <w:trPr>
          <w:trHeight w:val="283"/>
        </w:trPr>
        <w:tc>
          <w:tcPr>
            <w:tcW w:w="2943" w:type="dxa"/>
          </w:tcPr>
          <w:p w14:paraId="06253E84" w14:textId="77777777" w:rsidR="00AD4317" w:rsidRPr="00575A12" w:rsidRDefault="00AD4317" w:rsidP="0033454E">
            <w:pPr>
              <w:widowControl/>
              <w:rPr>
                <w:color w:val="000000" w:themeColor="text1"/>
              </w:rPr>
            </w:pPr>
            <w:r>
              <w:rPr>
                <w:color w:val="000000" w:themeColor="text1"/>
              </w:rPr>
              <w:t>ND</w:t>
            </w:r>
          </w:p>
        </w:tc>
        <w:tc>
          <w:tcPr>
            <w:tcW w:w="6299" w:type="dxa"/>
          </w:tcPr>
          <w:p w14:paraId="5DDC09AB" w14:textId="77777777" w:rsidR="00AD4317" w:rsidRPr="00575A12" w:rsidRDefault="00AD4317" w:rsidP="0033454E">
            <w:pPr>
              <w:widowControl/>
              <w:rPr>
                <w:color w:val="000000" w:themeColor="text1"/>
              </w:rPr>
            </w:pPr>
            <w:r>
              <w:rPr>
                <w:color w:val="000000" w:themeColor="text1"/>
              </w:rPr>
              <w:t>not detectable</w:t>
            </w:r>
          </w:p>
        </w:tc>
      </w:tr>
      <w:tr w:rsidR="00AD4317" w:rsidRPr="001B5342" w14:paraId="53614617" w14:textId="77777777" w:rsidTr="0033454E">
        <w:trPr>
          <w:trHeight w:val="283"/>
        </w:trPr>
        <w:tc>
          <w:tcPr>
            <w:tcW w:w="2943" w:type="dxa"/>
          </w:tcPr>
          <w:p w14:paraId="0DF36238" w14:textId="77777777" w:rsidR="00AD4317" w:rsidRPr="00575A12" w:rsidRDefault="00AD4317" w:rsidP="0033454E">
            <w:pPr>
              <w:widowControl/>
              <w:rPr>
                <w:color w:val="000000" w:themeColor="text1"/>
              </w:rPr>
            </w:pPr>
            <w:r w:rsidRPr="00575A12">
              <w:rPr>
                <w:color w:val="000000" w:themeColor="text1"/>
              </w:rPr>
              <w:t>NDF</w:t>
            </w:r>
          </w:p>
        </w:tc>
        <w:tc>
          <w:tcPr>
            <w:tcW w:w="6299" w:type="dxa"/>
          </w:tcPr>
          <w:p w14:paraId="4D0BA90D" w14:textId="77777777" w:rsidR="00AD4317" w:rsidRPr="00575A12" w:rsidRDefault="00AD4317" w:rsidP="0033454E">
            <w:pPr>
              <w:widowControl/>
              <w:rPr>
                <w:color w:val="000000" w:themeColor="text1"/>
              </w:rPr>
            </w:pPr>
            <w:r w:rsidRPr="00575A12">
              <w:rPr>
                <w:color w:val="000000" w:themeColor="text1"/>
              </w:rPr>
              <w:t xml:space="preserve">neutral </w:t>
            </w:r>
            <w:r>
              <w:rPr>
                <w:color w:val="000000" w:themeColor="text1"/>
              </w:rPr>
              <w:t>detergent</w:t>
            </w:r>
            <w:r w:rsidRPr="00575A12">
              <w:rPr>
                <w:color w:val="000000" w:themeColor="text1"/>
              </w:rPr>
              <w:t xml:space="preserve"> fibre</w:t>
            </w:r>
          </w:p>
        </w:tc>
      </w:tr>
      <w:tr w:rsidR="00AD4317" w:rsidRPr="001B5342" w14:paraId="07298AF9" w14:textId="77777777" w:rsidTr="0033454E">
        <w:trPr>
          <w:trHeight w:val="283"/>
        </w:trPr>
        <w:tc>
          <w:tcPr>
            <w:tcW w:w="2943" w:type="dxa"/>
          </w:tcPr>
          <w:p w14:paraId="55CACF8C" w14:textId="77777777" w:rsidR="00AD4317" w:rsidRPr="00624B64" w:rsidRDefault="00AD4317" w:rsidP="0033454E">
            <w:pPr>
              <w:widowControl/>
              <w:rPr>
                <w:color w:val="000000" w:themeColor="text1"/>
              </w:rPr>
            </w:pPr>
            <w:r>
              <w:rPr>
                <w:color w:val="000000" w:themeColor="text1"/>
              </w:rPr>
              <w:t>ng</w:t>
            </w:r>
          </w:p>
        </w:tc>
        <w:tc>
          <w:tcPr>
            <w:tcW w:w="6299" w:type="dxa"/>
          </w:tcPr>
          <w:p w14:paraId="60891CFA" w14:textId="77777777" w:rsidR="00AD4317" w:rsidRPr="00624B64" w:rsidRDefault="00AD4317" w:rsidP="0033454E">
            <w:pPr>
              <w:widowControl/>
              <w:rPr>
                <w:color w:val="000000" w:themeColor="text1"/>
              </w:rPr>
            </w:pPr>
            <w:r>
              <w:rPr>
                <w:color w:val="000000" w:themeColor="text1"/>
              </w:rPr>
              <w:t>nanogram</w:t>
            </w:r>
          </w:p>
        </w:tc>
      </w:tr>
      <w:tr w:rsidR="00AD4317" w:rsidRPr="001B5342" w14:paraId="049B89A2" w14:textId="77777777" w:rsidTr="0033454E">
        <w:trPr>
          <w:trHeight w:val="283"/>
        </w:trPr>
        <w:tc>
          <w:tcPr>
            <w:tcW w:w="2943" w:type="dxa"/>
          </w:tcPr>
          <w:p w14:paraId="5FC5385D" w14:textId="77777777" w:rsidR="00AD4317" w:rsidRPr="00624B64" w:rsidRDefault="00AD4317" w:rsidP="0033454E">
            <w:pPr>
              <w:widowControl/>
              <w:rPr>
                <w:color w:val="000000" w:themeColor="text1"/>
              </w:rPr>
            </w:pPr>
            <w:r w:rsidRPr="00624B64">
              <w:rPr>
                <w:color w:val="000000" w:themeColor="text1"/>
              </w:rPr>
              <w:t>nos</w:t>
            </w:r>
          </w:p>
        </w:tc>
        <w:tc>
          <w:tcPr>
            <w:tcW w:w="6299" w:type="dxa"/>
          </w:tcPr>
          <w:p w14:paraId="2C1033AF" w14:textId="77777777" w:rsidR="00AD4317" w:rsidRPr="00624B64" w:rsidRDefault="00AD4317" w:rsidP="0033454E">
            <w:pPr>
              <w:widowControl/>
              <w:rPr>
                <w:color w:val="000000" w:themeColor="text1"/>
              </w:rPr>
            </w:pPr>
            <w:r w:rsidRPr="00624B64">
              <w:rPr>
                <w:color w:val="000000" w:themeColor="text1"/>
              </w:rPr>
              <w:t>nopaline synthase</w:t>
            </w:r>
          </w:p>
        </w:tc>
      </w:tr>
      <w:tr w:rsidR="00AD4317" w:rsidRPr="001B5342" w14:paraId="5871E240" w14:textId="77777777" w:rsidTr="0033454E">
        <w:trPr>
          <w:trHeight w:val="283"/>
        </w:trPr>
        <w:tc>
          <w:tcPr>
            <w:tcW w:w="2943" w:type="dxa"/>
          </w:tcPr>
          <w:p w14:paraId="5DFBC326" w14:textId="77777777" w:rsidR="00AD4317" w:rsidRPr="00CA3AF5" w:rsidRDefault="00AD4317" w:rsidP="0033454E">
            <w:pPr>
              <w:widowControl/>
              <w:rPr>
                <w:color w:val="000000" w:themeColor="text1"/>
              </w:rPr>
            </w:pPr>
            <w:r>
              <w:rPr>
                <w:color w:val="000000" w:themeColor="text1"/>
              </w:rPr>
              <w:t>NS</w:t>
            </w:r>
          </w:p>
        </w:tc>
        <w:tc>
          <w:tcPr>
            <w:tcW w:w="6299" w:type="dxa"/>
          </w:tcPr>
          <w:p w14:paraId="1E7A6498" w14:textId="77777777" w:rsidR="00AD4317" w:rsidRPr="00CA3AF5" w:rsidRDefault="00AD4317" w:rsidP="0033454E">
            <w:pPr>
              <w:widowControl/>
              <w:rPr>
                <w:color w:val="000000" w:themeColor="text1"/>
              </w:rPr>
            </w:pPr>
            <w:r>
              <w:rPr>
                <w:color w:val="000000" w:themeColor="text1"/>
              </w:rPr>
              <w:t>not significant</w:t>
            </w:r>
          </w:p>
        </w:tc>
      </w:tr>
      <w:tr w:rsidR="00AD4317" w:rsidRPr="001B5342" w14:paraId="0B651A01" w14:textId="77777777" w:rsidTr="0033454E">
        <w:trPr>
          <w:trHeight w:val="283"/>
        </w:trPr>
        <w:tc>
          <w:tcPr>
            <w:tcW w:w="2943" w:type="dxa"/>
          </w:tcPr>
          <w:p w14:paraId="24019295" w14:textId="77777777" w:rsidR="00AD4317" w:rsidRPr="00CA3AF5" w:rsidRDefault="00AD4317" w:rsidP="0033454E">
            <w:pPr>
              <w:widowControl/>
              <w:rPr>
                <w:color w:val="000000" w:themeColor="text1"/>
              </w:rPr>
            </w:pPr>
            <w:r w:rsidRPr="00CA3AF5">
              <w:rPr>
                <w:color w:val="000000" w:themeColor="text1"/>
              </w:rPr>
              <w:t>OECD</w:t>
            </w:r>
          </w:p>
        </w:tc>
        <w:tc>
          <w:tcPr>
            <w:tcW w:w="6299" w:type="dxa"/>
          </w:tcPr>
          <w:p w14:paraId="6B613618" w14:textId="77777777" w:rsidR="00AD4317" w:rsidRPr="00CA3AF5" w:rsidRDefault="00AD4317" w:rsidP="0033454E">
            <w:pPr>
              <w:widowControl/>
              <w:rPr>
                <w:color w:val="000000" w:themeColor="text1"/>
              </w:rPr>
            </w:pPr>
            <w:r w:rsidRPr="00CA3AF5">
              <w:rPr>
                <w:color w:val="000000" w:themeColor="text1"/>
              </w:rPr>
              <w:t>Organisation for Economic Co-operation and Development</w:t>
            </w:r>
          </w:p>
        </w:tc>
      </w:tr>
      <w:tr w:rsidR="00AD4317" w:rsidRPr="001B5342" w14:paraId="6BC929D4" w14:textId="77777777" w:rsidTr="0033454E">
        <w:trPr>
          <w:trHeight w:val="283"/>
        </w:trPr>
        <w:tc>
          <w:tcPr>
            <w:tcW w:w="2943" w:type="dxa"/>
          </w:tcPr>
          <w:p w14:paraId="40A33F67" w14:textId="77777777" w:rsidR="00AD4317" w:rsidRPr="00920C8C" w:rsidRDefault="00AD4317" w:rsidP="0033454E">
            <w:pPr>
              <w:widowControl/>
              <w:rPr>
                <w:color w:val="000000" w:themeColor="text1"/>
              </w:rPr>
            </w:pPr>
            <w:r w:rsidRPr="00920C8C">
              <w:rPr>
                <w:color w:val="000000" w:themeColor="text1"/>
              </w:rPr>
              <w:lastRenderedPageBreak/>
              <w:t>OGTR</w:t>
            </w:r>
          </w:p>
        </w:tc>
        <w:tc>
          <w:tcPr>
            <w:tcW w:w="6299" w:type="dxa"/>
          </w:tcPr>
          <w:p w14:paraId="51C41E3F" w14:textId="77777777" w:rsidR="00AD4317" w:rsidRPr="00920C8C" w:rsidRDefault="00AD4317" w:rsidP="0033454E">
            <w:pPr>
              <w:widowControl/>
              <w:rPr>
                <w:color w:val="000000" w:themeColor="text1"/>
              </w:rPr>
            </w:pPr>
            <w:r w:rsidRPr="00920C8C">
              <w:rPr>
                <w:color w:val="000000" w:themeColor="text1"/>
              </w:rPr>
              <w:t>Office of the Gene Technology Regulator</w:t>
            </w:r>
          </w:p>
        </w:tc>
      </w:tr>
      <w:tr w:rsidR="00AD4317" w:rsidRPr="001B5342" w14:paraId="510DAC94" w14:textId="77777777" w:rsidTr="0033454E">
        <w:trPr>
          <w:trHeight w:val="283"/>
        </w:trPr>
        <w:tc>
          <w:tcPr>
            <w:tcW w:w="2943" w:type="dxa"/>
          </w:tcPr>
          <w:p w14:paraId="1F56AD24" w14:textId="77777777" w:rsidR="00AD4317" w:rsidRPr="00920C8C" w:rsidRDefault="00AD4317" w:rsidP="0033454E">
            <w:pPr>
              <w:widowControl/>
              <w:rPr>
                <w:color w:val="000000" w:themeColor="text1"/>
              </w:rPr>
            </w:pPr>
            <w:r w:rsidRPr="00920C8C">
              <w:rPr>
                <w:color w:val="000000" w:themeColor="text1"/>
              </w:rPr>
              <w:t>ORF</w:t>
            </w:r>
          </w:p>
        </w:tc>
        <w:tc>
          <w:tcPr>
            <w:tcW w:w="6299" w:type="dxa"/>
          </w:tcPr>
          <w:p w14:paraId="5B3D12F8" w14:textId="77777777" w:rsidR="00AD4317" w:rsidRPr="00920C8C" w:rsidRDefault="00AD4317" w:rsidP="0033454E">
            <w:pPr>
              <w:widowControl/>
              <w:rPr>
                <w:color w:val="000000" w:themeColor="text1"/>
              </w:rPr>
            </w:pPr>
            <w:r w:rsidRPr="00920C8C">
              <w:rPr>
                <w:color w:val="000000" w:themeColor="text1"/>
              </w:rPr>
              <w:t>open reading frame</w:t>
            </w:r>
          </w:p>
        </w:tc>
      </w:tr>
      <w:tr w:rsidR="00AD4317" w:rsidRPr="001B5342" w14:paraId="773CDC32" w14:textId="77777777" w:rsidTr="0033454E">
        <w:trPr>
          <w:trHeight w:val="283"/>
        </w:trPr>
        <w:tc>
          <w:tcPr>
            <w:tcW w:w="2943" w:type="dxa"/>
          </w:tcPr>
          <w:p w14:paraId="14A2869B" w14:textId="77777777" w:rsidR="00AD4317" w:rsidRPr="00CA3AF5" w:rsidRDefault="00AD4317" w:rsidP="0033454E">
            <w:pPr>
              <w:widowControl/>
              <w:rPr>
                <w:color w:val="000000" w:themeColor="text1"/>
              </w:rPr>
            </w:pPr>
            <w:r w:rsidRPr="00CA3AF5">
              <w:rPr>
                <w:color w:val="000000" w:themeColor="text1"/>
              </w:rPr>
              <w:t>PAT</w:t>
            </w:r>
          </w:p>
        </w:tc>
        <w:tc>
          <w:tcPr>
            <w:tcW w:w="6299" w:type="dxa"/>
          </w:tcPr>
          <w:p w14:paraId="3A129DCF" w14:textId="77777777" w:rsidR="00AD4317" w:rsidRPr="00CA3AF5" w:rsidRDefault="00AD4317" w:rsidP="0033454E">
            <w:pPr>
              <w:widowControl/>
              <w:rPr>
                <w:color w:val="000000" w:themeColor="text1"/>
              </w:rPr>
            </w:pPr>
            <w:r w:rsidRPr="00CA3AF5">
              <w:rPr>
                <w:color w:val="000000" w:themeColor="text1"/>
              </w:rPr>
              <w:t>Phosphinothricin acetyltransferase</w:t>
            </w:r>
          </w:p>
        </w:tc>
      </w:tr>
      <w:tr w:rsidR="00AD4317" w:rsidRPr="001B5342" w14:paraId="6ECA13D5" w14:textId="77777777" w:rsidTr="0033454E">
        <w:trPr>
          <w:trHeight w:val="283"/>
        </w:trPr>
        <w:tc>
          <w:tcPr>
            <w:tcW w:w="2943" w:type="dxa"/>
          </w:tcPr>
          <w:p w14:paraId="74D86DBC" w14:textId="77777777" w:rsidR="00AD4317" w:rsidRPr="00706703" w:rsidRDefault="00AD4317" w:rsidP="0033454E">
            <w:pPr>
              <w:widowControl/>
              <w:rPr>
                <w:iCs/>
                <w:color w:val="000000" w:themeColor="text1"/>
              </w:rPr>
            </w:pPr>
            <w:r w:rsidRPr="00706703">
              <w:rPr>
                <w:iCs/>
                <w:color w:val="000000" w:themeColor="text1"/>
              </w:rPr>
              <w:t>PCR</w:t>
            </w:r>
          </w:p>
        </w:tc>
        <w:tc>
          <w:tcPr>
            <w:tcW w:w="6299" w:type="dxa"/>
          </w:tcPr>
          <w:p w14:paraId="2DF6C401" w14:textId="77777777" w:rsidR="00AD4317" w:rsidRPr="00706703" w:rsidRDefault="00AD4317" w:rsidP="0033454E">
            <w:pPr>
              <w:widowControl/>
              <w:rPr>
                <w:color w:val="000000" w:themeColor="text1"/>
              </w:rPr>
            </w:pPr>
            <w:r w:rsidRPr="00706703">
              <w:rPr>
                <w:iCs/>
                <w:color w:val="000000" w:themeColor="text1"/>
              </w:rPr>
              <w:t>polymerase chain reaction</w:t>
            </w:r>
          </w:p>
        </w:tc>
      </w:tr>
      <w:tr w:rsidR="00AD4317" w:rsidRPr="001B5342" w14:paraId="5EFD8905" w14:textId="77777777" w:rsidTr="0033454E">
        <w:trPr>
          <w:trHeight w:val="283"/>
        </w:trPr>
        <w:tc>
          <w:tcPr>
            <w:tcW w:w="2943" w:type="dxa"/>
          </w:tcPr>
          <w:p w14:paraId="5967B86E" w14:textId="77777777" w:rsidR="00AD4317" w:rsidRPr="005B347F" w:rsidRDefault="00AD4317" w:rsidP="0033454E">
            <w:pPr>
              <w:widowControl/>
              <w:rPr>
                <w:color w:val="000000" w:themeColor="text1"/>
              </w:rPr>
            </w:pPr>
            <w:r w:rsidRPr="005B347F">
              <w:rPr>
                <w:color w:val="000000" w:themeColor="text1"/>
              </w:rPr>
              <w:t>PPT</w:t>
            </w:r>
          </w:p>
        </w:tc>
        <w:tc>
          <w:tcPr>
            <w:tcW w:w="6299" w:type="dxa"/>
          </w:tcPr>
          <w:p w14:paraId="7B1B3CEF" w14:textId="77777777" w:rsidR="00AD4317" w:rsidRPr="005B347F" w:rsidRDefault="00AD4317" w:rsidP="0033454E">
            <w:pPr>
              <w:widowControl/>
              <w:rPr>
                <w:color w:val="000000" w:themeColor="text1"/>
              </w:rPr>
            </w:pPr>
            <w:r w:rsidRPr="005B347F">
              <w:rPr>
                <w:rFonts w:cs="Arial"/>
                <w:color w:val="000000" w:themeColor="text1"/>
                <w:szCs w:val="22"/>
              </w:rPr>
              <w:t>phosphinothricin</w:t>
            </w:r>
          </w:p>
        </w:tc>
      </w:tr>
      <w:tr w:rsidR="00AD4317" w:rsidRPr="00BD4BB0" w14:paraId="23FC1E9A" w14:textId="77777777" w:rsidTr="0033454E">
        <w:trPr>
          <w:trHeight w:val="283"/>
        </w:trPr>
        <w:tc>
          <w:tcPr>
            <w:tcW w:w="2943" w:type="dxa"/>
          </w:tcPr>
          <w:p w14:paraId="3F7E69BF" w14:textId="77777777" w:rsidR="00AD4317" w:rsidRPr="00BD4BB0" w:rsidRDefault="00AD4317" w:rsidP="0033454E">
            <w:pPr>
              <w:widowControl/>
              <w:rPr>
                <w:color w:val="000000" w:themeColor="text1"/>
              </w:rPr>
            </w:pPr>
            <w:r w:rsidRPr="00BD4BB0">
              <w:rPr>
                <w:color w:val="000000" w:themeColor="text1"/>
              </w:rPr>
              <w:t>PRESS</w:t>
            </w:r>
          </w:p>
        </w:tc>
        <w:tc>
          <w:tcPr>
            <w:tcW w:w="6299" w:type="dxa"/>
          </w:tcPr>
          <w:p w14:paraId="6FAB918F" w14:textId="77777777" w:rsidR="00AD4317" w:rsidRPr="00BD4BB0" w:rsidRDefault="00AD4317" w:rsidP="0033454E">
            <w:pPr>
              <w:widowControl/>
              <w:rPr>
                <w:rStyle w:val="st1"/>
                <w:rFonts w:cs="Arial"/>
                <w:color w:val="000000" w:themeColor="text1"/>
                <w:szCs w:val="22"/>
                <w:lang w:val="en-AU"/>
              </w:rPr>
            </w:pPr>
            <w:r w:rsidRPr="00BD4BB0">
              <w:rPr>
                <w:rFonts w:eastAsiaTheme="minorHAnsi" w:cs="Arial"/>
                <w:color w:val="000000" w:themeColor="text1"/>
                <w:szCs w:val="22"/>
              </w:rPr>
              <w:t>predicted residual sum of squares</w:t>
            </w:r>
          </w:p>
        </w:tc>
      </w:tr>
      <w:tr w:rsidR="00AD4317" w:rsidRPr="00BD4BB0" w14:paraId="3A720E95" w14:textId="77777777" w:rsidTr="0033454E">
        <w:trPr>
          <w:trHeight w:val="283"/>
        </w:trPr>
        <w:tc>
          <w:tcPr>
            <w:tcW w:w="2943" w:type="dxa"/>
          </w:tcPr>
          <w:p w14:paraId="1A2EB2F8" w14:textId="77777777" w:rsidR="00AD4317" w:rsidRPr="00BD4BB0" w:rsidRDefault="00AD4317" w:rsidP="0033454E">
            <w:pPr>
              <w:widowControl/>
              <w:rPr>
                <w:color w:val="000000" w:themeColor="text1"/>
              </w:rPr>
            </w:pPr>
            <w:r w:rsidRPr="00BD4BB0">
              <w:rPr>
                <w:color w:val="000000" w:themeColor="text1"/>
              </w:rPr>
              <w:t>PVDF</w:t>
            </w:r>
          </w:p>
        </w:tc>
        <w:tc>
          <w:tcPr>
            <w:tcW w:w="6299" w:type="dxa"/>
          </w:tcPr>
          <w:p w14:paraId="0C949057" w14:textId="77777777" w:rsidR="00AD4317" w:rsidRPr="00BD4BB0" w:rsidRDefault="00AD4317" w:rsidP="0033454E">
            <w:pPr>
              <w:widowControl/>
              <w:rPr>
                <w:color w:val="000000" w:themeColor="text1"/>
              </w:rPr>
            </w:pPr>
            <w:r w:rsidRPr="00BD4BB0">
              <w:rPr>
                <w:rStyle w:val="st1"/>
                <w:rFonts w:cs="Arial"/>
                <w:color w:val="000000" w:themeColor="text1"/>
                <w:lang w:val="en-AU"/>
              </w:rPr>
              <w:t>polyvinylidene fluoride</w:t>
            </w:r>
          </w:p>
        </w:tc>
      </w:tr>
      <w:tr w:rsidR="00AD4317" w:rsidRPr="00BD4BB0" w14:paraId="1AE52911" w14:textId="77777777" w:rsidTr="0033454E">
        <w:trPr>
          <w:trHeight w:val="283"/>
        </w:trPr>
        <w:tc>
          <w:tcPr>
            <w:tcW w:w="2943" w:type="dxa"/>
          </w:tcPr>
          <w:p w14:paraId="44A62DB7" w14:textId="77777777" w:rsidR="00AD4317" w:rsidRPr="00BD4BB0" w:rsidRDefault="00AD4317" w:rsidP="0033454E">
            <w:pPr>
              <w:widowControl/>
              <w:rPr>
                <w:color w:val="000000" w:themeColor="text1"/>
              </w:rPr>
            </w:pPr>
            <w:r w:rsidRPr="00BD4BB0">
              <w:rPr>
                <w:color w:val="000000" w:themeColor="text1"/>
              </w:rPr>
              <w:t>RB</w:t>
            </w:r>
          </w:p>
        </w:tc>
        <w:tc>
          <w:tcPr>
            <w:tcW w:w="6299" w:type="dxa"/>
          </w:tcPr>
          <w:p w14:paraId="3634992D" w14:textId="77777777" w:rsidR="00AD4317" w:rsidRPr="00BD4BB0" w:rsidRDefault="00AD4317" w:rsidP="0033454E">
            <w:pPr>
              <w:widowControl/>
              <w:rPr>
                <w:color w:val="000000" w:themeColor="text1"/>
              </w:rPr>
            </w:pPr>
            <w:r w:rsidRPr="00BD4BB0">
              <w:rPr>
                <w:color w:val="000000" w:themeColor="text1"/>
              </w:rPr>
              <w:t>Right Border of T-DNA (</w:t>
            </w:r>
            <w:r w:rsidRPr="00BD4BB0">
              <w:rPr>
                <w:i/>
                <w:color w:val="000000" w:themeColor="text1"/>
              </w:rPr>
              <w:t>Agrobacterium tumefaciens</w:t>
            </w:r>
            <w:r w:rsidRPr="00BD4BB0">
              <w:rPr>
                <w:color w:val="000000" w:themeColor="text1"/>
              </w:rPr>
              <w:t>)</w:t>
            </w:r>
          </w:p>
        </w:tc>
      </w:tr>
      <w:tr w:rsidR="00AD4317" w:rsidRPr="00BD4BB0" w14:paraId="311F6263" w14:textId="77777777" w:rsidTr="0033454E">
        <w:trPr>
          <w:trHeight w:val="283"/>
        </w:trPr>
        <w:tc>
          <w:tcPr>
            <w:tcW w:w="2943" w:type="dxa"/>
          </w:tcPr>
          <w:p w14:paraId="64654338" w14:textId="77777777" w:rsidR="00AD4317" w:rsidRPr="00BD4BB0" w:rsidRDefault="00AD4317" w:rsidP="0033454E">
            <w:pPr>
              <w:widowControl/>
              <w:rPr>
                <w:color w:val="000000" w:themeColor="text1"/>
              </w:rPr>
            </w:pPr>
            <w:r w:rsidRPr="00BD4BB0">
              <w:rPr>
                <w:color w:val="000000" w:themeColor="text1"/>
              </w:rPr>
              <w:t>RF</w:t>
            </w:r>
          </w:p>
        </w:tc>
        <w:tc>
          <w:tcPr>
            <w:tcW w:w="6299" w:type="dxa"/>
          </w:tcPr>
          <w:p w14:paraId="1BD0B794" w14:textId="77777777" w:rsidR="00AD4317" w:rsidRPr="00BD4BB0" w:rsidRDefault="00AD4317" w:rsidP="0033454E">
            <w:pPr>
              <w:widowControl/>
              <w:rPr>
                <w:color w:val="000000" w:themeColor="text1"/>
              </w:rPr>
            </w:pPr>
            <w:r w:rsidRPr="00BD4BB0">
              <w:rPr>
                <w:color w:val="000000" w:themeColor="text1"/>
              </w:rPr>
              <w:t>fertility restorer</w:t>
            </w:r>
          </w:p>
        </w:tc>
      </w:tr>
      <w:tr w:rsidR="00AD4317" w:rsidRPr="00BD4BB0" w14:paraId="49662970" w14:textId="77777777" w:rsidTr="0033454E">
        <w:trPr>
          <w:trHeight w:val="283"/>
        </w:trPr>
        <w:tc>
          <w:tcPr>
            <w:tcW w:w="2943" w:type="dxa"/>
          </w:tcPr>
          <w:p w14:paraId="1C0E3D98" w14:textId="77777777" w:rsidR="00AD4317" w:rsidRPr="00BD4BB0" w:rsidRDefault="00AD4317" w:rsidP="0033454E">
            <w:pPr>
              <w:widowControl/>
              <w:rPr>
                <w:color w:val="000000" w:themeColor="text1"/>
              </w:rPr>
            </w:pPr>
            <w:r w:rsidRPr="00BD4BB0">
              <w:rPr>
                <w:color w:val="000000" w:themeColor="text1"/>
              </w:rPr>
              <w:t>RNA</w:t>
            </w:r>
          </w:p>
        </w:tc>
        <w:tc>
          <w:tcPr>
            <w:tcW w:w="6299" w:type="dxa"/>
          </w:tcPr>
          <w:p w14:paraId="695DAA96" w14:textId="77777777" w:rsidR="00AD4317" w:rsidRPr="00BD4BB0" w:rsidRDefault="00AD4317" w:rsidP="0033454E">
            <w:pPr>
              <w:widowControl/>
              <w:rPr>
                <w:color w:val="000000" w:themeColor="text1"/>
              </w:rPr>
            </w:pPr>
            <w:r w:rsidRPr="00BD4BB0">
              <w:rPr>
                <w:color w:val="000000" w:themeColor="text1"/>
              </w:rPr>
              <w:t>ribonucleic acid</w:t>
            </w:r>
          </w:p>
        </w:tc>
      </w:tr>
      <w:tr w:rsidR="00AD4317" w:rsidRPr="00BD4BB0" w14:paraId="33B0F6F8" w14:textId="77777777" w:rsidTr="0033454E">
        <w:trPr>
          <w:trHeight w:val="283"/>
        </w:trPr>
        <w:tc>
          <w:tcPr>
            <w:tcW w:w="2943" w:type="dxa"/>
          </w:tcPr>
          <w:p w14:paraId="6F508B92" w14:textId="77777777" w:rsidR="00AD4317" w:rsidRPr="00BD4BB0" w:rsidRDefault="00AD4317" w:rsidP="0033454E">
            <w:pPr>
              <w:widowControl/>
              <w:rPr>
                <w:color w:val="000000" w:themeColor="text1"/>
              </w:rPr>
            </w:pPr>
            <w:r w:rsidRPr="00BD4BB0">
              <w:rPr>
                <w:color w:val="000000" w:themeColor="text1"/>
              </w:rPr>
              <w:t>RNase</w:t>
            </w:r>
          </w:p>
        </w:tc>
        <w:tc>
          <w:tcPr>
            <w:tcW w:w="6299" w:type="dxa"/>
          </w:tcPr>
          <w:p w14:paraId="000750BC" w14:textId="77777777" w:rsidR="00AD4317" w:rsidRPr="00BD4BB0" w:rsidRDefault="00AD4317" w:rsidP="0033454E">
            <w:pPr>
              <w:widowControl/>
              <w:rPr>
                <w:color w:val="000000" w:themeColor="text1"/>
              </w:rPr>
            </w:pPr>
            <w:r w:rsidRPr="00BD4BB0">
              <w:rPr>
                <w:color w:val="000000" w:themeColor="text1"/>
              </w:rPr>
              <w:t>ribonuclease</w:t>
            </w:r>
          </w:p>
        </w:tc>
      </w:tr>
      <w:tr w:rsidR="00AD4317" w:rsidRPr="00BD4BB0" w14:paraId="3ACFD665" w14:textId="77777777" w:rsidTr="0033454E">
        <w:trPr>
          <w:trHeight w:val="283"/>
        </w:trPr>
        <w:tc>
          <w:tcPr>
            <w:tcW w:w="2943" w:type="dxa"/>
          </w:tcPr>
          <w:p w14:paraId="26FF4431" w14:textId="77777777" w:rsidR="00AD4317" w:rsidRPr="00BD4BB0" w:rsidRDefault="00AD4317" w:rsidP="0033454E">
            <w:pPr>
              <w:widowControl/>
              <w:rPr>
                <w:color w:val="000000" w:themeColor="text1"/>
              </w:rPr>
            </w:pPr>
            <w:r w:rsidRPr="00BD4BB0">
              <w:rPr>
                <w:color w:val="000000" w:themeColor="text1"/>
              </w:rPr>
              <w:t>Rubisco</w:t>
            </w:r>
          </w:p>
        </w:tc>
        <w:tc>
          <w:tcPr>
            <w:tcW w:w="6299" w:type="dxa"/>
          </w:tcPr>
          <w:p w14:paraId="29E7C07A" w14:textId="77777777" w:rsidR="00AD4317" w:rsidRPr="00BD4BB0" w:rsidRDefault="00AD4317" w:rsidP="0033454E">
            <w:pPr>
              <w:widowControl/>
              <w:rPr>
                <w:color w:val="000000" w:themeColor="text1"/>
              </w:rPr>
            </w:pPr>
            <w:r w:rsidRPr="00BD4BB0">
              <w:rPr>
                <w:color w:val="000000" w:themeColor="text1"/>
              </w:rPr>
              <w:t>ribulose bisphosphate carboxylase</w:t>
            </w:r>
          </w:p>
        </w:tc>
      </w:tr>
      <w:tr w:rsidR="00AD4317" w:rsidRPr="00BD4BB0" w14:paraId="32EA7E91" w14:textId="77777777" w:rsidTr="0033454E">
        <w:trPr>
          <w:trHeight w:val="283"/>
        </w:trPr>
        <w:tc>
          <w:tcPr>
            <w:tcW w:w="2943" w:type="dxa"/>
          </w:tcPr>
          <w:p w14:paraId="5260C4DF" w14:textId="77777777" w:rsidR="00AD4317" w:rsidRPr="00BD4BB0" w:rsidRDefault="00AD4317" w:rsidP="0033454E">
            <w:pPr>
              <w:widowControl/>
              <w:rPr>
                <w:color w:val="000000" w:themeColor="text1"/>
              </w:rPr>
            </w:pPr>
            <w:r w:rsidRPr="00BD4BB0">
              <w:rPr>
                <w:color w:val="000000" w:themeColor="text1"/>
              </w:rPr>
              <w:t>SAS</w:t>
            </w:r>
          </w:p>
        </w:tc>
        <w:tc>
          <w:tcPr>
            <w:tcW w:w="6299" w:type="dxa"/>
          </w:tcPr>
          <w:p w14:paraId="656D733B" w14:textId="77777777" w:rsidR="00AD4317" w:rsidRPr="00BD4BB0" w:rsidRDefault="00AD4317" w:rsidP="0033454E">
            <w:pPr>
              <w:widowControl/>
              <w:rPr>
                <w:color w:val="000000" w:themeColor="text1"/>
              </w:rPr>
            </w:pPr>
            <w:r w:rsidRPr="00BD4BB0">
              <w:rPr>
                <w:color w:val="000000" w:themeColor="text1"/>
              </w:rPr>
              <w:t>Statistical Analysis Software</w:t>
            </w:r>
          </w:p>
        </w:tc>
      </w:tr>
      <w:tr w:rsidR="00AD4317" w:rsidRPr="00BD4BB0" w14:paraId="01749601" w14:textId="77777777" w:rsidTr="0033454E">
        <w:trPr>
          <w:trHeight w:val="283"/>
        </w:trPr>
        <w:tc>
          <w:tcPr>
            <w:tcW w:w="2943" w:type="dxa"/>
          </w:tcPr>
          <w:p w14:paraId="69065C3C" w14:textId="77777777" w:rsidR="00AD4317" w:rsidRPr="00BD4BB0" w:rsidRDefault="00AD4317" w:rsidP="0033454E">
            <w:pPr>
              <w:widowControl/>
              <w:rPr>
                <w:color w:val="000000" w:themeColor="text1"/>
              </w:rPr>
            </w:pPr>
            <w:r w:rsidRPr="00BD4BB0">
              <w:rPr>
                <w:color w:val="000000" w:themeColor="text1"/>
              </w:rPr>
              <w:t>SD</w:t>
            </w:r>
          </w:p>
        </w:tc>
        <w:tc>
          <w:tcPr>
            <w:tcW w:w="6299" w:type="dxa"/>
          </w:tcPr>
          <w:p w14:paraId="340D68A7" w14:textId="77777777" w:rsidR="00AD4317" w:rsidRPr="00BD4BB0" w:rsidRDefault="00AD4317" w:rsidP="0033454E">
            <w:pPr>
              <w:widowControl/>
              <w:rPr>
                <w:color w:val="000000" w:themeColor="text1"/>
              </w:rPr>
            </w:pPr>
            <w:r w:rsidRPr="00BD4BB0">
              <w:rPr>
                <w:color w:val="000000" w:themeColor="text1"/>
              </w:rPr>
              <w:t>standard deviation</w:t>
            </w:r>
          </w:p>
        </w:tc>
      </w:tr>
      <w:tr w:rsidR="00AD4317" w:rsidRPr="00BD4BB0" w14:paraId="4D9EBF98" w14:textId="77777777" w:rsidTr="0033454E">
        <w:trPr>
          <w:trHeight w:val="283"/>
        </w:trPr>
        <w:tc>
          <w:tcPr>
            <w:tcW w:w="2943" w:type="dxa"/>
          </w:tcPr>
          <w:p w14:paraId="70AB54D7" w14:textId="77777777" w:rsidR="00AD4317" w:rsidRPr="00BD4BB0" w:rsidRDefault="00AD4317" w:rsidP="0033454E">
            <w:pPr>
              <w:widowControl/>
              <w:rPr>
                <w:color w:val="000000" w:themeColor="text1"/>
              </w:rPr>
            </w:pPr>
            <w:r w:rsidRPr="00BD4BB0">
              <w:rPr>
                <w:color w:val="000000" w:themeColor="text1"/>
              </w:rPr>
              <w:t>SDS-PAGE</w:t>
            </w:r>
          </w:p>
        </w:tc>
        <w:tc>
          <w:tcPr>
            <w:tcW w:w="6299" w:type="dxa"/>
          </w:tcPr>
          <w:p w14:paraId="77E2A9F3" w14:textId="77777777" w:rsidR="00AD4317" w:rsidRPr="00BD4BB0" w:rsidRDefault="00AD4317" w:rsidP="0033454E">
            <w:pPr>
              <w:widowControl/>
              <w:rPr>
                <w:color w:val="000000" w:themeColor="text1"/>
              </w:rPr>
            </w:pPr>
            <w:r w:rsidRPr="00BD4BB0">
              <w:rPr>
                <w:color w:val="000000" w:themeColor="text1"/>
              </w:rPr>
              <w:t>sodium dodecyl sulfate polyacrylamide gel electrophoresis</w:t>
            </w:r>
          </w:p>
        </w:tc>
      </w:tr>
      <w:tr w:rsidR="00AD4317" w:rsidRPr="00BD4BB0" w14:paraId="65D45FE8" w14:textId="77777777" w:rsidTr="0033454E">
        <w:trPr>
          <w:trHeight w:val="283"/>
        </w:trPr>
        <w:tc>
          <w:tcPr>
            <w:tcW w:w="2943" w:type="dxa"/>
          </w:tcPr>
          <w:p w14:paraId="5E290ED9" w14:textId="77777777" w:rsidR="00AD4317" w:rsidRPr="00BD4BB0" w:rsidRDefault="00AD4317" w:rsidP="0033454E">
            <w:pPr>
              <w:widowControl/>
              <w:rPr>
                <w:color w:val="000000" w:themeColor="text1"/>
              </w:rPr>
            </w:pPr>
            <w:r w:rsidRPr="00BD4BB0">
              <w:rPr>
                <w:color w:val="000000" w:themeColor="text1"/>
              </w:rPr>
              <w:t>SGF</w:t>
            </w:r>
          </w:p>
        </w:tc>
        <w:tc>
          <w:tcPr>
            <w:tcW w:w="6299" w:type="dxa"/>
          </w:tcPr>
          <w:p w14:paraId="682B727F" w14:textId="77777777" w:rsidR="00AD4317" w:rsidRPr="00BD4BB0" w:rsidRDefault="00AD4317" w:rsidP="0033454E">
            <w:pPr>
              <w:widowControl/>
              <w:rPr>
                <w:color w:val="000000" w:themeColor="text1"/>
              </w:rPr>
            </w:pPr>
            <w:r w:rsidRPr="00BD4BB0">
              <w:rPr>
                <w:color w:val="000000" w:themeColor="text1"/>
              </w:rPr>
              <w:t>simulated gastric fluid</w:t>
            </w:r>
          </w:p>
        </w:tc>
      </w:tr>
      <w:tr w:rsidR="00AD4317" w:rsidRPr="00BD4BB0" w14:paraId="73075D6B" w14:textId="77777777" w:rsidTr="0033454E">
        <w:trPr>
          <w:trHeight w:val="283"/>
        </w:trPr>
        <w:tc>
          <w:tcPr>
            <w:tcW w:w="2943" w:type="dxa"/>
          </w:tcPr>
          <w:p w14:paraId="1F702518" w14:textId="77777777" w:rsidR="00AD4317" w:rsidRPr="00BD4BB0" w:rsidRDefault="00AD4317" w:rsidP="0033454E">
            <w:pPr>
              <w:widowControl/>
              <w:rPr>
                <w:color w:val="000000" w:themeColor="text1"/>
              </w:rPr>
            </w:pPr>
            <w:r w:rsidRPr="00BD4BB0">
              <w:rPr>
                <w:color w:val="000000" w:themeColor="text1"/>
              </w:rPr>
              <w:t>SIF</w:t>
            </w:r>
          </w:p>
        </w:tc>
        <w:tc>
          <w:tcPr>
            <w:tcW w:w="6299" w:type="dxa"/>
          </w:tcPr>
          <w:p w14:paraId="2C4BCD15" w14:textId="77777777" w:rsidR="00AD4317" w:rsidRPr="00BD4BB0" w:rsidRDefault="00AD4317" w:rsidP="0033454E">
            <w:pPr>
              <w:widowControl/>
              <w:rPr>
                <w:color w:val="000000" w:themeColor="text1"/>
              </w:rPr>
            </w:pPr>
            <w:r w:rsidRPr="00BD4BB0">
              <w:rPr>
                <w:color w:val="000000" w:themeColor="text1"/>
              </w:rPr>
              <w:t>simulated intestinal fluid</w:t>
            </w:r>
          </w:p>
        </w:tc>
      </w:tr>
      <w:tr w:rsidR="00AD4317" w:rsidRPr="00BD4BB0" w14:paraId="2FBE1CB1" w14:textId="77777777" w:rsidTr="0033454E">
        <w:trPr>
          <w:trHeight w:val="283"/>
        </w:trPr>
        <w:tc>
          <w:tcPr>
            <w:tcW w:w="2943" w:type="dxa"/>
          </w:tcPr>
          <w:p w14:paraId="7C97B3F3" w14:textId="77777777" w:rsidR="00AD4317" w:rsidRPr="00BD4BB0" w:rsidRDefault="00AD4317" w:rsidP="0033454E">
            <w:pPr>
              <w:widowControl/>
              <w:rPr>
                <w:color w:val="000000" w:themeColor="text1"/>
              </w:rPr>
            </w:pPr>
            <w:r w:rsidRPr="00BD4BB0">
              <w:rPr>
                <w:color w:val="000000" w:themeColor="text1"/>
              </w:rPr>
              <w:t>SSU</w:t>
            </w:r>
          </w:p>
        </w:tc>
        <w:tc>
          <w:tcPr>
            <w:tcW w:w="6299" w:type="dxa"/>
          </w:tcPr>
          <w:p w14:paraId="62DF68A3" w14:textId="77777777" w:rsidR="00AD4317" w:rsidRPr="00BD4BB0" w:rsidRDefault="00AD4317" w:rsidP="0033454E">
            <w:pPr>
              <w:widowControl/>
              <w:rPr>
                <w:color w:val="000000" w:themeColor="text1"/>
              </w:rPr>
            </w:pPr>
            <w:r w:rsidRPr="00BD4BB0">
              <w:rPr>
                <w:color w:val="000000" w:themeColor="text1"/>
              </w:rPr>
              <w:t>small sub-unit</w:t>
            </w:r>
          </w:p>
        </w:tc>
      </w:tr>
      <w:tr w:rsidR="00AD4317" w:rsidRPr="00BD4BB0" w14:paraId="3CA47CBA" w14:textId="77777777" w:rsidTr="0033454E">
        <w:trPr>
          <w:trHeight w:val="283"/>
        </w:trPr>
        <w:tc>
          <w:tcPr>
            <w:tcW w:w="2943" w:type="dxa"/>
          </w:tcPr>
          <w:p w14:paraId="01A6584A" w14:textId="77777777" w:rsidR="00AD4317" w:rsidRPr="00BD4BB0" w:rsidRDefault="00AD4317" w:rsidP="0033454E">
            <w:pPr>
              <w:widowControl/>
              <w:rPr>
                <w:color w:val="000000" w:themeColor="text1"/>
              </w:rPr>
            </w:pPr>
            <w:r w:rsidRPr="00BD4BB0">
              <w:rPr>
                <w:color w:val="000000" w:themeColor="text1"/>
              </w:rPr>
              <w:t>T-DNA</w:t>
            </w:r>
          </w:p>
        </w:tc>
        <w:tc>
          <w:tcPr>
            <w:tcW w:w="6299" w:type="dxa"/>
          </w:tcPr>
          <w:p w14:paraId="6595BDF0" w14:textId="77777777" w:rsidR="00AD4317" w:rsidRPr="00BD4BB0" w:rsidRDefault="00AD4317" w:rsidP="0033454E">
            <w:pPr>
              <w:widowControl/>
              <w:rPr>
                <w:color w:val="000000" w:themeColor="text1"/>
              </w:rPr>
            </w:pPr>
            <w:r w:rsidRPr="00BD4BB0">
              <w:rPr>
                <w:color w:val="000000" w:themeColor="text1"/>
              </w:rPr>
              <w:t>transfer DNA</w:t>
            </w:r>
          </w:p>
        </w:tc>
      </w:tr>
      <w:tr w:rsidR="00AD4317" w:rsidRPr="00BD4BB0" w14:paraId="4B4EA64F" w14:textId="77777777" w:rsidTr="0033454E">
        <w:trPr>
          <w:trHeight w:val="283"/>
        </w:trPr>
        <w:tc>
          <w:tcPr>
            <w:tcW w:w="2943" w:type="dxa"/>
          </w:tcPr>
          <w:p w14:paraId="0D51B707" w14:textId="77777777" w:rsidR="00AD4317" w:rsidRPr="00BD4BB0" w:rsidRDefault="00AD4317" w:rsidP="0033454E">
            <w:pPr>
              <w:widowControl/>
              <w:rPr>
                <w:color w:val="000000" w:themeColor="text1"/>
              </w:rPr>
            </w:pPr>
            <w:r w:rsidRPr="00BD4BB0">
              <w:rPr>
                <w:color w:val="000000" w:themeColor="text1"/>
              </w:rPr>
              <w:t>Ti</w:t>
            </w:r>
          </w:p>
        </w:tc>
        <w:tc>
          <w:tcPr>
            <w:tcW w:w="6299" w:type="dxa"/>
          </w:tcPr>
          <w:p w14:paraId="12E737A6" w14:textId="77777777" w:rsidR="00AD4317" w:rsidRPr="00BD4BB0" w:rsidRDefault="00AD4317" w:rsidP="0033454E">
            <w:pPr>
              <w:widowControl/>
              <w:rPr>
                <w:color w:val="000000" w:themeColor="text1"/>
              </w:rPr>
            </w:pPr>
            <w:r w:rsidRPr="00BD4BB0">
              <w:rPr>
                <w:color w:val="000000" w:themeColor="text1"/>
              </w:rPr>
              <w:t>tumour inducing</w:t>
            </w:r>
          </w:p>
        </w:tc>
      </w:tr>
      <w:tr w:rsidR="00AD4317" w:rsidRPr="00BD4BB0" w14:paraId="48B4A52D" w14:textId="77777777" w:rsidTr="0033454E">
        <w:trPr>
          <w:trHeight w:val="283"/>
        </w:trPr>
        <w:tc>
          <w:tcPr>
            <w:tcW w:w="2943" w:type="dxa"/>
          </w:tcPr>
          <w:p w14:paraId="234EF7B9" w14:textId="77777777" w:rsidR="00AD4317" w:rsidRPr="00BD4BB0" w:rsidRDefault="00AD4317" w:rsidP="0033454E">
            <w:pPr>
              <w:widowControl/>
              <w:rPr>
                <w:color w:val="000000" w:themeColor="text1"/>
              </w:rPr>
            </w:pPr>
            <w:r w:rsidRPr="00BD4BB0">
              <w:rPr>
                <w:color w:val="000000" w:themeColor="text1"/>
              </w:rPr>
              <w:t>U</w:t>
            </w:r>
          </w:p>
        </w:tc>
        <w:tc>
          <w:tcPr>
            <w:tcW w:w="6299" w:type="dxa"/>
          </w:tcPr>
          <w:p w14:paraId="27823193" w14:textId="77777777" w:rsidR="00AD4317" w:rsidRPr="00BD4BB0" w:rsidRDefault="00AD4317" w:rsidP="0033454E">
            <w:pPr>
              <w:widowControl/>
              <w:rPr>
                <w:color w:val="000000" w:themeColor="text1"/>
              </w:rPr>
            </w:pPr>
            <w:r w:rsidRPr="00BD4BB0">
              <w:rPr>
                <w:color w:val="000000" w:themeColor="text1"/>
              </w:rPr>
              <w:t>Units (U/mg = measure of enzyme activity)</w:t>
            </w:r>
          </w:p>
        </w:tc>
      </w:tr>
      <w:tr w:rsidR="00AD4317" w:rsidRPr="00BD4BB0" w14:paraId="5FDD2A46" w14:textId="77777777" w:rsidTr="0033454E">
        <w:trPr>
          <w:trHeight w:val="283"/>
        </w:trPr>
        <w:tc>
          <w:tcPr>
            <w:tcW w:w="2943" w:type="dxa"/>
          </w:tcPr>
          <w:p w14:paraId="553181D8" w14:textId="77777777" w:rsidR="00AD4317" w:rsidRPr="00BD4BB0" w:rsidRDefault="00AD4317" w:rsidP="0033454E">
            <w:pPr>
              <w:widowControl/>
              <w:rPr>
                <w:color w:val="000000" w:themeColor="text1"/>
              </w:rPr>
            </w:pPr>
            <w:r w:rsidRPr="00BD4BB0">
              <w:rPr>
                <w:rFonts w:cs="Arial"/>
                <w:color w:val="000000" w:themeColor="text1"/>
              </w:rPr>
              <w:t>μ</w:t>
            </w:r>
            <w:r w:rsidRPr="00BD4BB0">
              <w:rPr>
                <w:color w:val="000000" w:themeColor="text1"/>
              </w:rPr>
              <w:t>g</w:t>
            </w:r>
          </w:p>
        </w:tc>
        <w:tc>
          <w:tcPr>
            <w:tcW w:w="6299" w:type="dxa"/>
          </w:tcPr>
          <w:p w14:paraId="674F14C8" w14:textId="77777777" w:rsidR="00AD4317" w:rsidRPr="00BD4BB0" w:rsidRDefault="00AD4317" w:rsidP="0033454E">
            <w:pPr>
              <w:widowControl/>
              <w:rPr>
                <w:color w:val="000000" w:themeColor="text1"/>
              </w:rPr>
            </w:pPr>
            <w:r w:rsidRPr="00BD4BB0">
              <w:rPr>
                <w:color w:val="000000" w:themeColor="text1"/>
              </w:rPr>
              <w:t>microgram</w:t>
            </w:r>
          </w:p>
        </w:tc>
      </w:tr>
      <w:tr w:rsidR="00AD4317" w:rsidRPr="00BD4BB0" w14:paraId="5471999C" w14:textId="77777777" w:rsidTr="0033454E">
        <w:trPr>
          <w:trHeight w:val="283"/>
        </w:trPr>
        <w:tc>
          <w:tcPr>
            <w:tcW w:w="2943" w:type="dxa"/>
          </w:tcPr>
          <w:p w14:paraId="42ABB5AB" w14:textId="77777777" w:rsidR="00AD4317" w:rsidRPr="00BD4BB0" w:rsidRDefault="00AD4317" w:rsidP="0033454E">
            <w:pPr>
              <w:widowControl/>
              <w:rPr>
                <w:color w:val="000000" w:themeColor="text1"/>
              </w:rPr>
            </w:pPr>
            <w:r w:rsidRPr="00BD4BB0">
              <w:rPr>
                <w:rFonts w:cs="Arial"/>
                <w:color w:val="000000" w:themeColor="text1"/>
              </w:rPr>
              <w:t>μ</w:t>
            </w:r>
            <w:r w:rsidRPr="00BD4BB0">
              <w:rPr>
                <w:color w:val="000000" w:themeColor="text1"/>
              </w:rPr>
              <w:t>M</w:t>
            </w:r>
          </w:p>
        </w:tc>
        <w:tc>
          <w:tcPr>
            <w:tcW w:w="6299" w:type="dxa"/>
          </w:tcPr>
          <w:p w14:paraId="50652CB9" w14:textId="77777777" w:rsidR="00AD4317" w:rsidRPr="00BD4BB0" w:rsidRDefault="00AD4317" w:rsidP="0033454E">
            <w:pPr>
              <w:widowControl/>
              <w:rPr>
                <w:color w:val="000000" w:themeColor="text1"/>
              </w:rPr>
            </w:pPr>
            <w:r w:rsidRPr="00BD4BB0">
              <w:rPr>
                <w:color w:val="000000" w:themeColor="text1"/>
              </w:rPr>
              <w:t>micro mole</w:t>
            </w:r>
          </w:p>
        </w:tc>
      </w:tr>
      <w:tr w:rsidR="00AD4317" w:rsidRPr="00BD4BB0" w14:paraId="7C12936C" w14:textId="77777777" w:rsidTr="0033454E">
        <w:trPr>
          <w:trHeight w:val="283"/>
        </w:trPr>
        <w:tc>
          <w:tcPr>
            <w:tcW w:w="2943" w:type="dxa"/>
          </w:tcPr>
          <w:p w14:paraId="251EDECC" w14:textId="77777777" w:rsidR="00AD4317" w:rsidRPr="00BD4BB0" w:rsidRDefault="00AD4317" w:rsidP="0033454E">
            <w:pPr>
              <w:widowControl/>
              <w:rPr>
                <w:color w:val="000000" w:themeColor="text1"/>
              </w:rPr>
            </w:pPr>
            <w:r w:rsidRPr="00BD4BB0">
              <w:rPr>
                <w:color w:val="000000" w:themeColor="text1"/>
              </w:rPr>
              <w:t>UPLC</w:t>
            </w:r>
          </w:p>
        </w:tc>
        <w:tc>
          <w:tcPr>
            <w:tcW w:w="6299" w:type="dxa"/>
          </w:tcPr>
          <w:p w14:paraId="2C560BE1" w14:textId="77777777" w:rsidR="00AD4317" w:rsidRPr="00BD4BB0" w:rsidRDefault="00AD4317" w:rsidP="0033454E">
            <w:pPr>
              <w:widowControl/>
              <w:rPr>
                <w:color w:val="000000" w:themeColor="text1"/>
              </w:rPr>
            </w:pPr>
            <w:r w:rsidRPr="00BD4BB0">
              <w:rPr>
                <w:color w:val="000000" w:themeColor="text1"/>
              </w:rPr>
              <w:t>ultra performance liquid chromatography</w:t>
            </w:r>
          </w:p>
        </w:tc>
      </w:tr>
      <w:tr w:rsidR="00AD4317" w:rsidRPr="00BD4BB0" w14:paraId="5ACD9645" w14:textId="77777777" w:rsidTr="0033454E">
        <w:trPr>
          <w:trHeight w:val="283"/>
        </w:trPr>
        <w:tc>
          <w:tcPr>
            <w:tcW w:w="2943" w:type="dxa"/>
          </w:tcPr>
          <w:p w14:paraId="6FAE8A85" w14:textId="15EF7456" w:rsidR="00AD4317" w:rsidRPr="00BD4BB0" w:rsidRDefault="00F97F7B" w:rsidP="0033454E">
            <w:pPr>
              <w:widowControl/>
              <w:rPr>
                <w:color w:val="000000" w:themeColor="text1"/>
              </w:rPr>
            </w:pPr>
            <w:r>
              <w:rPr>
                <w:color w:val="000000" w:themeColor="text1"/>
              </w:rPr>
              <w:t>USA</w:t>
            </w:r>
          </w:p>
        </w:tc>
        <w:tc>
          <w:tcPr>
            <w:tcW w:w="6299" w:type="dxa"/>
          </w:tcPr>
          <w:p w14:paraId="16050CED" w14:textId="77777777" w:rsidR="00AD4317" w:rsidRPr="00BD4BB0" w:rsidRDefault="00AD4317" w:rsidP="0033454E">
            <w:pPr>
              <w:widowControl/>
              <w:rPr>
                <w:color w:val="000000" w:themeColor="text1"/>
              </w:rPr>
            </w:pPr>
            <w:r w:rsidRPr="00BD4BB0">
              <w:rPr>
                <w:color w:val="000000" w:themeColor="text1"/>
              </w:rPr>
              <w:t>United States of America</w:t>
            </w:r>
          </w:p>
        </w:tc>
      </w:tr>
      <w:tr w:rsidR="00AD4317" w:rsidRPr="00BD4BB0" w14:paraId="34603CC6" w14:textId="77777777" w:rsidTr="0033454E">
        <w:trPr>
          <w:trHeight w:val="283"/>
        </w:trPr>
        <w:tc>
          <w:tcPr>
            <w:tcW w:w="2943" w:type="dxa"/>
          </w:tcPr>
          <w:p w14:paraId="1C0ABB6C" w14:textId="77777777" w:rsidR="00AD4317" w:rsidRPr="00BD4BB0" w:rsidRDefault="00AD4317" w:rsidP="0033454E">
            <w:pPr>
              <w:widowControl/>
              <w:rPr>
                <w:color w:val="000000" w:themeColor="text1"/>
              </w:rPr>
            </w:pPr>
            <w:r w:rsidRPr="00BD4BB0">
              <w:rPr>
                <w:color w:val="000000" w:themeColor="text1"/>
              </w:rPr>
              <w:t>UTR</w:t>
            </w:r>
          </w:p>
        </w:tc>
        <w:tc>
          <w:tcPr>
            <w:tcW w:w="6299" w:type="dxa"/>
          </w:tcPr>
          <w:p w14:paraId="62C4D65B" w14:textId="77777777" w:rsidR="00AD4317" w:rsidRPr="00BD4BB0" w:rsidRDefault="00AD4317" w:rsidP="0033454E">
            <w:pPr>
              <w:widowControl/>
              <w:rPr>
                <w:color w:val="000000" w:themeColor="text1"/>
              </w:rPr>
            </w:pPr>
            <w:r w:rsidRPr="00BD4BB0">
              <w:rPr>
                <w:color w:val="000000" w:themeColor="text1"/>
              </w:rPr>
              <w:t>untranslated region</w:t>
            </w:r>
          </w:p>
        </w:tc>
      </w:tr>
      <w:tr w:rsidR="00AD4317" w:rsidRPr="00BD4BB0" w14:paraId="3017E72A" w14:textId="77777777" w:rsidTr="0033454E">
        <w:trPr>
          <w:trHeight w:val="283"/>
        </w:trPr>
        <w:tc>
          <w:tcPr>
            <w:tcW w:w="2943" w:type="dxa"/>
          </w:tcPr>
          <w:p w14:paraId="6B0837FE" w14:textId="77777777" w:rsidR="00AD4317" w:rsidRPr="00BD4BB0" w:rsidRDefault="00AD4317" w:rsidP="0033454E">
            <w:pPr>
              <w:widowControl/>
              <w:rPr>
                <w:color w:val="000000" w:themeColor="text1"/>
              </w:rPr>
            </w:pPr>
            <w:r w:rsidRPr="00BD4BB0">
              <w:rPr>
                <w:color w:val="000000" w:themeColor="text1"/>
              </w:rPr>
              <w:t>UV</w:t>
            </w:r>
          </w:p>
        </w:tc>
        <w:tc>
          <w:tcPr>
            <w:tcW w:w="6299" w:type="dxa"/>
          </w:tcPr>
          <w:p w14:paraId="3558F0BA" w14:textId="77777777" w:rsidR="00AD4317" w:rsidRPr="00BD4BB0" w:rsidRDefault="00AD4317" w:rsidP="0033454E">
            <w:pPr>
              <w:widowControl/>
              <w:rPr>
                <w:color w:val="000000" w:themeColor="text1"/>
              </w:rPr>
            </w:pPr>
            <w:r w:rsidRPr="00BD4BB0">
              <w:rPr>
                <w:color w:val="000000" w:themeColor="text1"/>
              </w:rPr>
              <w:t>ultraviolet</w:t>
            </w:r>
          </w:p>
        </w:tc>
      </w:tr>
    </w:tbl>
    <w:p w14:paraId="200BF6B3" w14:textId="77777777" w:rsidR="0033454E" w:rsidRPr="00BD4BB0" w:rsidRDefault="0033454E">
      <w:pPr>
        <w:widowControl/>
        <w:rPr>
          <w:color w:val="000000" w:themeColor="text1"/>
        </w:rPr>
      </w:pPr>
      <w:r w:rsidRPr="00BD4BB0">
        <w:rPr>
          <w:color w:val="000000" w:themeColor="text1"/>
        </w:rPr>
        <w:br w:type="page"/>
      </w:r>
    </w:p>
    <w:p w14:paraId="0603EC99" w14:textId="77777777" w:rsidR="0033454E" w:rsidRPr="00616DE3" w:rsidRDefault="0033454E" w:rsidP="0033454E">
      <w:pPr>
        <w:pStyle w:val="Heading1"/>
        <w:ind w:left="720" w:hanging="720"/>
        <w:jc w:val="both"/>
        <w:rPr>
          <w:color w:val="000000" w:themeColor="text1"/>
          <w:szCs w:val="36"/>
        </w:rPr>
      </w:pPr>
      <w:bookmarkStart w:id="12" w:name="_Toc481491423"/>
      <w:r w:rsidRPr="00616DE3">
        <w:rPr>
          <w:color w:val="000000" w:themeColor="text1"/>
          <w:szCs w:val="36"/>
        </w:rPr>
        <w:lastRenderedPageBreak/>
        <w:t>1</w:t>
      </w:r>
      <w:r w:rsidRPr="00616DE3">
        <w:rPr>
          <w:color w:val="000000" w:themeColor="text1"/>
          <w:szCs w:val="36"/>
        </w:rPr>
        <w:tab/>
        <w:t>Introduction</w:t>
      </w:r>
      <w:bookmarkEnd w:id="12"/>
    </w:p>
    <w:p w14:paraId="5F986C91" w14:textId="77777777" w:rsidR="0033454E" w:rsidRPr="004E69B6" w:rsidRDefault="0033454E" w:rsidP="0033454E">
      <w:pPr>
        <w:rPr>
          <w:color w:val="000000" w:themeColor="text1"/>
          <w:szCs w:val="22"/>
          <w:lang w:val="en-AU"/>
        </w:rPr>
      </w:pPr>
      <w:r w:rsidRPr="002E1DB8">
        <w:rPr>
          <w:color w:val="000000" w:themeColor="text1"/>
          <w:szCs w:val="22"/>
        </w:rPr>
        <w:t xml:space="preserve">Bayer CropScience (Bayer) has submitted an application to FSANZ to vary Schedule 26 in the </w:t>
      </w:r>
      <w:r w:rsidRPr="002E1DB8">
        <w:rPr>
          <w:i/>
          <w:color w:val="000000" w:themeColor="text1"/>
          <w:szCs w:val="22"/>
        </w:rPr>
        <w:t xml:space="preserve">Australia New Zealand Food Standards </w:t>
      </w:r>
      <w:r w:rsidRPr="004E69B6">
        <w:rPr>
          <w:i/>
          <w:color w:val="000000" w:themeColor="text1"/>
          <w:szCs w:val="22"/>
        </w:rPr>
        <w:t>Code</w:t>
      </w:r>
      <w:r w:rsidRPr="004E69B6">
        <w:rPr>
          <w:color w:val="000000" w:themeColor="text1"/>
          <w:szCs w:val="22"/>
        </w:rPr>
        <w:t xml:space="preserve"> (the Code) to include food from a new genetically modified (GM) canola (</w:t>
      </w:r>
      <w:r w:rsidRPr="004E69B6">
        <w:rPr>
          <w:i/>
          <w:color w:val="000000" w:themeColor="text1"/>
          <w:szCs w:val="22"/>
        </w:rPr>
        <w:t>Brassica napus</w:t>
      </w:r>
      <w:r w:rsidRPr="004E69B6">
        <w:rPr>
          <w:color w:val="000000" w:themeColor="text1"/>
          <w:szCs w:val="22"/>
        </w:rPr>
        <w:t>) line, MS11, with OECD Unique Identifier BCS-BN012-7 (herein referred to as MS11). This canola line has been genetically modified to confer two novel agronomic traits – tolerance to the broad spectrum herbicide glufosinate ammonium (glufosinate) and expression of male sterility.</w:t>
      </w:r>
    </w:p>
    <w:p w14:paraId="7589DF59" w14:textId="77777777" w:rsidR="0033454E" w:rsidRPr="004E69B6" w:rsidRDefault="0033454E" w:rsidP="0033454E">
      <w:pPr>
        <w:rPr>
          <w:color w:val="000000" w:themeColor="text1"/>
          <w:szCs w:val="22"/>
          <w:lang w:val="en-AU"/>
        </w:rPr>
      </w:pPr>
    </w:p>
    <w:p w14:paraId="454A5005" w14:textId="77777777" w:rsidR="0033454E" w:rsidRPr="004E69B6" w:rsidRDefault="0033454E" w:rsidP="0033454E">
      <w:pPr>
        <w:rPr>
          <w:color w:val="000000" w:themeColor="text1"/>
          <w:szCs w:val="22"/>
        </w:rPr>
      </w:pPr>
      <w:r w:rsidRPr="004E69B6">
        <w:rPr>
          <w:color w:val="000000" w:themeColor="text1"/>
          <w:szCs w:val="22"/>
          <w:lang w:val="en-AU"/>
        </w:rPr>
        <w:t>Tolerance to glufosinate is achieved through constitutive expression of phosphinothricin N- acetyltransferase (PAT)</w:t>
      </w:r>
      <w:r w:rsidRPr="004E69B6">
        <w:rPr>
          <w:rFonts w:cs="Arial"/>
          <w:color w:val="000000" w:themeColor="text1"/>
          <w:szCs w:val="22"/>
        </w:rPr>
        <w:t xml:space="preserve"> encoded by the </w:t>
      </w:r>
      <w:r w:rsidRPr="004E69B6">
        <w:rPr>
          <w:rFonts w:cs="Arial"/>
          <w:i/>
          <w:color w:val="000000" w:themeColor="text1"/>
          <w:szCs w:val="22"/>
        </w:rPr>
        <w:t xml:space="preserve">bar (bialaphos resistance) </w:t>
      </w:r>
      <w:r w:rsidRPr="004E69B6">
        <w:rPr>
          <w:rFonts w:cs="Arial"/>
          <w:color w:val="000000" w:themeColor="text1"/>
          <w:szCs w:val="22"/>
        </w:rPr>
        <w:t xml:space="preserve">gene from </w:t>
      </w:r>
      <w:r w:rsidRPr="004E69B6">
        <w:rPr>
          <w:rFonts w:cs="Arial"/>
          <w:i/>
          <w:color w:val="000000" w:themeColor="text1"/>
          <w:szCs w:val="22"/>
        </w:rPr>
        <w:t>Streptomyces hygroscopicus</w:t>
      </w:r>
      <w:r w:rsidRPr="004E69B6">
        <w:rPr>
          <w:rFonts w:cs="Arial"/>
          <w:color w:val="000000" w:themeColor="text1"/>
          <w:szCs w:val="22"/>
        </w:rPr>
        <w:t xml:space="preserve">. The PAT protein acetylates the free amino group of glufosinate to produce the herbicidally-inactive metabolite, 2-acetamido-4-methylphosphinico-butanoic acid (N-acetyl glufosinate). The PAT protein has been assessed by FSANZ in 22 previous FSANZ applications, and globally is represented in six major crop species and over 30 approved GM single plant events </w:t>
      </w:r>
      <w:r>
        <w:rPr>
          <w:rFonts w:cs="Arial"/>
          <w:noProof/>
          <w:color w:val="000000" w:themeColor="text1"/>
          <w:szCs w:val="22"/>
        </w:rPr>
        <w:t>(CERA 2011)</w:t>
      </w:r>
      <w:r w:rsidRPr="004E69B6">
        <w:rPr>
          <w:rFonts w:cs="Arial"/>
          <w:color w:val="000000" w:themeColor="text1"/>
          <w:szCs w:val="22"/>
        </w:rPr>
        <w:t>.</w:t>
      </w:r>
    </w:p>
    <w:p w14:paraId="4EEC9EDD" w14:textId="77777777" w:rsidR="0033454E" w:rsidRPr="004E69B6" w:rsidRDefault="0033454E" w:rsidP="0033454E">
      <w:pPr>
        <w:rPr>
          <w:color w:val="000000" w:themeColor="text1"/>
          <w:szCs w:val="22"/>
        </w:rPr>
      </w:pPr>
    </w:p>
    <w:p w14:paraId="32FDB431" w14:textId="77777777" w:rsidR="00E5589F" w:rsidRDefault="0033454E" w:rsidP="00E84D1C">
      <w:pPr>
        <w:autoSpaceDE w:val="0"/>
        <w:autoSpaceDN w:val="0"/>
        <w:adjustRightInd w:val="0"/>
        <w:rPr>
          <w:color w:val="000000" w:themeColor="text1"/>
          <w:szCs w:val="22"/>
        </w:rPr>
      </w:pPr>
      <w:r w:rsidRPr="004E69B6">
        <w:rPr>
          <w:color w:val="000000" w:themeColor="text1"/>
          <w:szCs w:val="22"/>
        </w:rPr>
        <w:t xml:space="preserve">Male sterility is conferred by the </w:t>
      </w:r>
      <w:r w:rsidRPr="004E69B6">
        <w:rPr>
          <w:i/>
          <w:color w:val="000000" w:themeColor="text1"/>
          <w:szCs w:val="22"/>
        </w:rPr>
        <w:t>barnase</w:t>
      </w:r>
      <w:r w:rsidRPr="004E69B6">
        <w:rPr>
          <w:color w:val="000000" w:themeColor="text1"/>
          <w:szCs w:val="22"/>
        </w:rPr>
        <w:t xml:space="preserve"> gene from </w:t>
      </w:r>
      <w:r w:rsidRPr="004E69B6">
        <w:rPr>
          <w:i/>
          <w:color w:val="000000" w:themeColor="text1"/>
          <w:szCs w:val="22"/>
        </w:rPr>
        <w:t>Bacillus amyloliquefaciens</w:t>
      </w:r>
      <w:r w:rsidRPr="004E69B6">
        <w:rPr>
          <w:color w:val="000000" w:themeColor="text1"/>
          <w:szCs w:val="22"/>
        </w:rPr>
        <w:t xml:space="preserve"> that is driven by a promoter specific to the tapetal cells </w:t>
      </w:r>
      <w:r w:rsidRPr="004E69B6">
        <w:rPr>
          <w:rFonts w:cs="Arial"/>
          <w:color w:val="000000" w:themeColor="text1"/>
          <w:szCs w:val="22"/>
        </w:rPr>
        <w:t>of the developing anthers of MS11. The Barnase (</w:t>
      </w:r>
      <w:r w:rsidRPr="004E69B6">
        <w:rPr>
          <w:rFonts w:cs="Arial"/>
          <w:color w:val="000000" w:themeColor="text1"/>
          <w:szCs w:val="22"/>
          <w:u w:val="single"/>
        </w:rPr>
        <w:t>ba</w:t>
      </w:r>
      <w:r w:rsidRPr="004E69B6">
        <w:rPr>
          <w:rFonts w:cs="Arial"/>
          <w:color w:val="000000" w:themeColor="text1"/>
          <w:szCs w:val="22"/>
        </w:rPr>
        <w:t xml:space="preserve">cterial cytotoxic </w:t>
      </w:r>
      <w:r w:rsidRPr="004E69B6">
        <w:rPr>
          <w:rFonts w:cs="Arial"/>
          <w:color w:val="000000" w:themeColor="text1"/>
          <w:szCs w:val="22"/>
          <w:u w:val="single"/>
        </w:rPr>
        <w:t>r</w:t>
      </w:r>
      <w:r w:rsidRPr="004E69B6">
        <w:rPr>
          <w:rFonts w:cs="Arial"/>
          <w:color w:val="000000" w:themeColor="text1"/>
          <w:szCs w:val="22"/>
        </w:rPr>
        <w:t>ibo</w:t>
      </w:r>
      <w:r w:rsidRPr="004E69B6">
        <w:rPr>
          <w:rFonts w:cs="Arial"/>
          <w:color w:val="000000" w:themeColor="text1"/>
          <w:szCs w:val="22"/>
          <w:u w:val="single"/>
        </w:rPr>
        <w:t>n</w:t>
      </w:r>
      <w:r w:rsidRPr="004E69B6">
        <w:rPr>
          <w:rFonts w:cs="Arial"/>
          <w:color w:val="000000" w:themeColor="text1"/>
          <w:szCs w:val="22"/>
        </w:rPr>
        <w:t>ucle</w:t>
      </w:r>
      <w:r w:rsidRPr="004E69B6">
        <w:rPr>
          <w:rFonts w:cs="Arial"/>
          <w:color w:val="000000" w:themeColor="text1"/>
          <w:szCs w:val="22"/>
          <w:u w:val="single"/>
        </w:rPr>
        <w:t>ase</w:t>
      </w:r>
      <w:r w:rsidRPr="004E69B6">
        <w:rPr>
          <w:rFonts w:cs="Arial"/>
          <w:color w:val="000000" w:themeColor="text1"/>
          <w:szCs w:val="22"/>
        </w:rPr>
        <w:t xml:space="preserve">) protein </w:t>
      </w:r>
      <w:r w:rsidRPr="004E69B6">
        <w:rPr>
          <w:rFonts w:cs="Arial"/>
          <w:szCs w:val="22"/>
          <w:lang w:eastAsia="en-GB" w:bidi="ar-SA"/>
        </w:rPr>
        <w:t>causes RNA degradation, cell disruption, and cell death and hence leads to</w:t>
      </w:r>
      <w:r w:rsidRPr="004E69B6">
        <w:rPr>
          <w:rFonts w:cs="Arial"/>
          <w:color w:val="000000" w:themeColor="text1"/>
          <w:szCs w:val="22"/>
        </w:rPr>
        <w:t xml:space="preserve"> ablation of the tapetal cells that surround the pollen sac. Since the tapetum produces substances that aid in development, or become components of, the outer pollen wall </w:t>
      </w:r>
      <w:r>
        <w:rPr>
          <w:rFonts w:cs="Arial"/>
          <w:noProof/>
          <w:color w:val="000000" w:themeColor="text1"/>
          <w:szCs w:val="22"/>
        </w:rPr>
        <w:t>(Hartley 1989; Mariani et al. 1990)</w:t>
      </w:r>
      <w:r w:rsidRPr="004E69B6">
        <w:rPr>
          <w:rFonts w:cs="Arial"/>
          <w:color w:val="000000" w:themeColor="text1"/>
          <w:szCs w:val="22"/>
        </w:rPr>
        <w:t>, normal pollen formation is prevented and no</w:t>
      </w:r>
      <w:r w:rsidRPr="004E69B6">
        <w:rPr>
          <w:color w:val="000000" w:themeColor="text1"/>
          <w:szCs w:val="22"/>
        </w:rPr>
        <w:t xml:space="preserve"> detectable pollen grains are present at anther dehiscence. The Applicant’s intention is to use the male sterile (MS) line in a hybrid breeding system in which MS11, as the female parent line, is crossed with a male line (RF) containing the fertility restoration, ribonuclease inhibitor, Barstar encoded by the </w:t>
      </w:r>
      <w:r w:rsidRPr="004E69B6">
        <w:rPr>
          <w:i/>
          <w:color w:val="000000" w:themeColor="text1"/>
          <w:szCs w:val="22"/>
        </w:rPr>
        <w:t>barstar</w:t>
      </w:r>
      <w:r w:rsidRPr="004E69B6">
        <w:rPr>
          <w:color w:val="000000" w:themeColor="text1"/>
          <w:szCs w:val="22"/>
        </w:rPr>
        <w:t xml:space="preserve"> gene also derived </w:t>
      </w:r>
      <w:r w:rsidRPr="004E69B6">
        <w:rPr>
          <w:i/>
          <w:color w:val="000000" w:themeColor="text1"/>
          <w:szCs w:val="22"/>
        </w:rPr>
        <w:t>from B. amyloliquefaciens</w:t>
      </w:r>
      <w:r w:rsidRPr="004E69B6">
        <w:rPr>
          <w:color w:val="000000" w:themeColor="text1"/>
          <w:szCs w:val="22"/>
        </w:rPr>
        <w:t xml:space="preserve"> (i.e. the MS 11 line is not intended by itself to be a food-producing line). </w:t>
      </w:r>
    </w:p>
    <w:p w14:paraId="04DA8D41" w14:textId="77777777" w:rsidR="00E5589F" w:rsidRDefault="00E5589F" w:rsidP="00E84D1C">
      <w:pPr>
        <w:autoSpaceDE w:val="0"/>
        <w:autoSpaceDN w:val="0"/>
        <w:adjustRightInd w:val="0"/>
        <w:rPr>
          <w:color w:val="000000" w:themeColor="text1"/>
          <w:szCs w:val="22"/>
        </w:rPr>
      </w:pPr>
    </w:p>
    <w:p w14:paraId="73C807FF" w14:textId="12D4B2C3" w:rsidR="00E84D1C" w:rsidRPr="0027531C" w:rsidRDefault="0033454E" w:rsidP="00E84D1C">
      <w:pPr>
        <w:autoSpaceDE w:val="0"/>
        <w:autoSpaceDN w:val="0"/>
        <w:adjustRightInd w:val="0"/>
        <w:rPr>
          <w:rFonts w:ascii="ArialMT" w:hAnsi="ArialMT" w:cs="ArialMT"/>
          <w:sz w:val="20"/>
          <w:lang w:eastAsia="en-GB"/>
        </w:rPr>
      </w:pPr>
      <w:r w:rsidRPr="004E69B6">
        <w:rPr>
          <w:color w:val="000000" w:themeColor="text1"/>
          <w:szCs w:val="22"/>
        </w:rPr>
        <w:t xml:space="preserve">The resulting progeny co-express both genes but the </w:t>
      </w:r>
      <w:r w:rsidRPr="004E69B6">
        <w:rPr>
          <w:i/>
          <w:color w:val="000000" w:themeColor="text1"/>
          <w:szCs w:val="22"/>
        </w:rPr>
        <w:t>barstar</w:t>
      </w:r>
      <w:r w:rsidRPr="004E69B6">
        <w:rPr>
          <w:color w:val="000000" w:themeColor="text1"/>
          <w:szCs w:val="22"/>
        </w:rPr>
        <w:t xml:space="preserve"> gene is dominant to the </w:t>
      </w:r>
      <w:r w:rsidRPr="004E69B6">
        <w:rPr>
          <w:i/>
          <w:color w:val="000000" w:themeColor="text1"/>
          <w:szCs w:val="22"/>
        </w:rPr>
        <w:t>barnase</w:t>
      </w:r>
      <w:r w:rsidRPr="004E69B6">
        <w:rPr>
          <w:color w:val="000000" w:themeColor="text1"/>
          <w:szCs w:val="22"/>
        </w:rPr>
        <w:t xml:space="preserve"> gene and ribonuclease (RNase)</w:t>
      </w:r>
      <w:r>
        <w:rPr>
          <w:color w:val="000000" w:themeColor="text1"/>
          <w:szCs w:val="22"/>
        </w:rPr>
        <w:t xml:space="preserve"> activity is suppressed by the formation of RNase/RNase inhibitor </w:t>
      </w:r>
      <w:r w:rsidRPr="00445FE2">
        <w:rPr>
          <w:color w:val="000000" w:themeColor="text1"/>
          <w:szCs w:val="22"/>
        </w:rPr>
        <w:t xml:space="preserve">complexes </w:t>
      </w:r>
      <w:r>
        <w:rPr>
          <w:noProof/>
          <w:color w:val="000000" w:themeColor="text1"/>
          <w:szCs w:val="22"/>
        </w:rPr>
        <w:t>(Mariani et al. 1990; Mariani et al. 1992)</w:t>
      </w:r>
      <w:r w:rsidRPr="00445FE2">
        <w:rPr>
          <w:color w:val="000000" w:themeColor="text1"/>
          <w:szCs w:val="22"/>
        </w:rPr>
        <w:t xml:space="preserve"> i.e.</w:t>
      </w:r>
      <w:r>
        <w:rPr>
          <w:color w:val="000000" w:themeColor="text1"/>
          <w:szCs w:val="22"/>
        </w:rPr>
        <w:t xml:space="preserve"> the hybrids are fully </w:t>
      </w:r>
      <w:r w:rsidRPr="00B64DEE">
        <w:rPr>
          <w:color w:val="000000" w:themeColor="text1"/>
          <w:szCs w:val="22"/>
        </w:rPr>
        <w:t xml:space="preserve">fertile. </w:t>
      </w:r>
      <w:r w:rsidR="00E84D1C" w:rsidRPr="00B64DEE">
        <w:rPr>
          <w:color w:val="000000" w:themeColor="text1"/>
          <w:szCs w:val="22"/>
        </w:rPr>
        <w:t xml:space="preserve">In nature, canola reproduces predominantly through self-pollination </w:t>
      </w:r>
      <w:r w:rsidR="00E84D1C" w:rsidRPr="00B64DEE">
        <w:rPr>
          <w:rFonts w:ascii="ArialMT" w:hAnsi="ArialMT" w:cs="ArialMT"/>
          <w:color w:val="000000" w:themeColor="text1"/>
          <w:szCs w:val="22"/>
          <w:lang w:eastAsia="en-GB"/>
        </w:rPr>
        <w:t>but the resulting progeny lack the vigour of those produced by outcrossing. It is therefore advantageous for a primary seed breeder to maximise seed quality by preventing self-pollination and having a male sterile (female) parent that is then forced to outcross with a</w:t>
      </w:r>
      <w:r w:rsidR="00F1658E" w:rsidRPr="00B64DEE">
        <w:rPr>
          <w:rFonts w:ascii="ArialMT" w:hAnsi="ArialMT" w:cs="ArialMT"/>
          <w:color w:val="000000" w:themeColor="text1"/>
          <w:szCs w:val="22"/>
          <w:lang w:eastAsia="en-GB"/>
        </w:rPr>
        <w:t>n agronomically superior</w:t>
      </w:r>
      <w:r w:rsidR="00E84D1C" w:rsidRPr="00B64DEE">
        <w:rPr>
          <w:rFonts w:ascii="ArialMT" w:hAnsi="ArialMT" w:cs="ArialMT"/>
          <w:color w:val="000000" w:themeColor="text1"/>
          <w:szCs w:val="22"/>
          <w:lang w:eastAsia="en-GB"/>
        </w:rPr>
        <w:t xml:space="preserve"> line. However, the resulting seed, which is planted by the farmer, needs to produce fertile plants that will go on to self-pollinate and produce seed that is harvested for the food/feed market. The Barnase/Barstar system allows both of the objectives to be met.</w:t>
      </w:r>
    </w:p>
    <w:p w14:paraId="031EF32E" w14:textId="77777777" w:rsidR="00E84D1C" w:rsidRDefault="00E84D1C" w:rsidP="0033454E">
      <w:pPr>
        <w:widowControl/>
        <w:autoSpaceDE w:val="0"/>
        <w:autoSpaceDN w:val="0"/>
        <w:adjustRightInd w:val="0"/>
        <w:rPr>
          <w:color w:val="000000" w:themeColor="text1"/>
          <w:szCs w:val="22"/>
        </w:rPr>
      </w:pPr>
    </w:p>
    <w:p w14:paraId="66977653" w14:textId="77777777" w:rsidR="0033454E" w:rsidRPr="0027531C" w:rsidRDefault="0033454E" w:rsidP="0033454E">
      <w:pPr>
        <w:widowControl/>
        <w:autoSpaceDE w:val="0"/>
        <w:autoSpaceDN w:val="0"/>
        <w:adjustRightInd w:val="0"/>
        <w:rPr>
          <w:rFonts w:ascii="ArialMT" w:hAnsi="ArialMT" w:cs="ArialMT"/>
          <w:sz w:val="20"/>
          <w:szCs w:val="20"/>
          <w:lang w:eastAsia="en-GB" w:bidi="ar-SA"/>
        </w:rPr>
      </w:pPr>
      <w:r>
        <w:rPr>
          <w:color w:val="000000" w:themeColor="text1"/>
          <w:szCs w:val="22"/>
        </w:rPr>
        <w:t xml:space="preserve">FSANZ has </w:t>
      </w:r>
      <w:r w:rsidRPr="0081783C">
        <w:rPr>
          <w:color w:val="000000" w:themeColor="text1"/>
          <w:szCs w:val="22"/>
        </w:rPr>
        <w:t xml:space="preserve">previously approved food derived from the intended fertility restorer line – RF3 – (as well as other MS lines) in Application A372 </w:t>
      </w:r>
      <w:r>
        <w:rPr>
          <w:noProof/>
          <w:color w:val="000000" w:themeColor="text1"/>
          <w:szCs w:val="22"/>
        </w:rPr>
        <w:t>(FSANZ 2002)</w:t>
      </w:r>
      <w:r>
        <w:rPr>
          <w:color w:val="000000" w:themeColor="text1"/>
          <w:szCs w:val="22"/>
        </w:rPr>
        <w:t xml:space="preserve"> and therefore has assessed both the Barnase and Barstar proteins.</w:t>
      </w:r>
    </w:p>
    <w:p w14:paraId="5BA33986" w14:textId="77777777" w:rsidR="0033454E" w:rsidRPr="0081783C" w:rsidRDefault="0033454E" w:rsidP="0033454E">
      <w:pPr>
        <w:rPr>
          <w:color w:val="000000" w:themeColor="text1"/>
          <w:szCs w:val="22"/>
        </w:rPr>
      </w:pPr>
    </w:p>
    <w:p w14:paraId="1FE2AEAF" w14:textId="77777777" w:rsidR="0033454E" w:rsidRPr="0081783C" w:rsidRDefault="0033454E" w:rsidP="0033454E">
      <w:pPr>
        <w:rPr>
          <w:color w:val="000000" w:themeColor="text1"/>
          <w:szCs w:val="22"/>
        </w:rPr>
      </w:pPr>
      <w:r w:rsidRPr="0081783C">
        <w:rPr>
          <w:bCs/>
          <w:kern w:val="36"/>
        </w:rPr>
        <w:t xml:space="preserve">Glufosinate tolerance </w:t>
      </w:r>
      <w:r>
        <w:rPr>
          <w:bCs/>
          <w:kern w:val="36"/>
        </w:rPr>
        <w:t xml:space="preserve">not only provides a trait useful for weed control but also </w:t>
      </w:r>
      <w:r w:rsidRPr="0081783C">
        <w:rPr>
          <w:bCs/>
          <w:kern w:val="36"/>
        </w:rPr>
        <w:t>contributes to the breeding system by being used to maintain the MS line. When the MS line is crossed with a non-GM counterpart there is a 1:1 segregation of male fertile</w:t>
      </w:r>
      <w:r>
        <w:rPr>
          <w:bCs/>
          <w:kern w:val="36"/>
        </w:rPr>
        <w:t>/</w:t>
      </w:r>
      <w:r w:rsidRPr="0081783C">
        <w:rPr>
          <w:bCs/>
          <w:kern w:val="36"/>
        </w:rPr>
        <w:t>herbicide-sensitive plants and male sterile</w:t>
      </w:r>
      <w:r>
        <w:rPr>
          <w:bCs/>
          <w:kern w:val="36"/>
        </w:rPr>
        <w:t>/</w:t>
      </w:r>
      <w:r w:rsidRPr="0081783C">
        <w:rPr>
          <w:bCs/>
          <w:kern w:val="36"/>
        </w:rPr>
        <w:t xml:space="preserve">herbicide-tolerant plants. The male fertile plants are eliminated by spraying with glufosinate leaving the seed-producing male sterile plants unharmed. </w:t>
      </w:r>
      <w:r>
        <w:rPr>
          <w:bCs/>
          <w:kern w:val="36"/>
        </w:rPr>
        <w:t>Glufosinate tolerance is also used for selection of putative transformants during the transformation stage (</w:t>
      </w:r>
      <w:r w:rsidRPr="009534F8">
        <w:rPr>
          <w:bCs/>
          <w:kern w:val="36"/>
        </w:rPr>
        <w:t>see Section 3.1)</w:t>
      </w:r>
    </w:p>
    <w:p w14:paraId="565443B8" w14:textId="77777777" w:rsidR="0033454E" w:rsidRPr="00C9200D" w:rsidRDefault="0033454E" w:rsidP="0033454E">
      <w:pPr>
        <w:rPr>
          <w:color w:val="000000" w:themeColor="text1"/>
          <w:szCs w:val="22"/>
        </w:rPr>
      </w:pPr>
    </w:p>
    <w:p w14:paraId="6781264B" w14:textId="77777777" w:rsidR="00B20711" w:rsidRDefault="00B20711" w:rsidP="0033454E">
      <w:pPr>
        <w:rPr>
          <w:color w:val="000000" w:themeColor="text1"/>
          <w:lang w:val="en-US"/>
        </w:rPr>
      </w:pPr>
      <w:r>
        <w:rPr>
          <w:color w:val="000000" w:themeColor="text1"/>
          <w:lang w:val="en-US"/>
        </w:rPr>
        <w:br w:type="page"/>
      </w:r>
    </w:p>
    <w:p w14:paraId="79B6C301" w14:textId="1E596B96" w:rsidR="0033454E" w:rsidRDefault="0033454E" w:rsidP="0033454E">
      <w:pPr>
        <w:rPr>
          <w:color w:val="000000" w:themeColor="text1"/>
          <w:lang w:val="en-US"/>
        </w:rPr>
      </w:pPr>
      <w:r w:rsidRPr="00C9200D">
        <w:rPr>
          <w:color w:val="000000" w:themeColor="text1"/>
          <w:lang w:val="en-US"/>
        </w:rPr>
        <w:lastRenderedPageBreak/>
        <w:t>MS11 also contain</w:t>
      </w:r>
      <w:r>
        <w:rPr>
          <w:color w:val="000000" w:themeColor="text1"/>
          <w:lang w:val="en-US"/>
        </w:rPr>
        <w:t>s</w:t>
      </w:r>
      <w:r w:rsidRPr="00C9200D">
        <w:rPr>
          <w:color w:val="000000" w:themeColor="text1"/>
          <w:lang w:val="en-US"/>
        </w:rPr>
        <w:t xml:space="preserve"> the </w:t>
      </w:r>
      <w:r w:rsidRPr="00C9200D">
        <w:rPr>
          <w:i/>
          <w:color w:val="000000" w:themeColor="text1"/>
          <w:lang w:val="en-US"/>
        </w:rPr>
        <w:t>barstar</w:t>
      </w:r>
      <w:r w:rsidRPr="00C9200D">
        <w:rPr>
          <w:color w:val="000000" w:themeColor="text1"/>
          <w:lang w:val="en-US"/>
        </w:rPr>
        <w:t xml:space="preserve"> gene, but in this instance it is driven by a </w:t>
      </w:r>
      <w:r>
        <w:rPr>
          <w:color w:val="000000" w:themeColor="text1"/>
          <w:lang w:val="en-US"/>
        </w:rPr>
        <w:t xml:space="preserve">weak </w:t>
      </w:r>
      <w:r w:rsidRPr="00C9200D">
        <w:rPr>
          <w:color w:val="000000" w:themeColor="text1"/>
          <w:lang w:val="en-US"/>
        </w:rPr>
        <w:t xml:space="preserve">constitutive promoter which means the Barstar protein is </w:t>
      </w:r>
      <w:r>
        <w:rPr>
          <w:color w:val="000000" w:themeColor="text1"/>
          <w:lang w:val="en-US"/>
        </w:rPr>
        <w:t xml:space="preserve">weakly </w:t>
      </w:r>
      <w:r w:rsidRPr="00C9200D">
        <w:rPr>
          <w:color w:val="000000" w:themeColor="text1"/>
          <w:lang w:val="en-US"/>
        </w:rPr>
        <w:t>expressed in all tissues</w:t>
      </w:r>
      <w:r>
        <w:rPr>
          <w:color w:val="000000" w:themeColor="text1"/>
          <w:lang w:val="en-US"/>
        </w:rPr>
        <w:t>,</w:t>
      </w:r>
      <w:r w:rsidRPr="00C9200D">
        <w:rPr>
          <w:color w:val="000000" w:themeColor="text1"/>
          <w:lang w:val="en-US"/>
        </w:rPr>
        <w:t xml:space="preserve"> not just the tapetum. The level of expression in the tapetum is not sufficient to counteract the effect of Barnase</w:t>
      </w:r>
      <w:r>
        <w:rPr>
          <w:color w:val="000000" w:themeColor="text1"/>
          <w:lang w:val="en-US"/>
        </w:rPr>
        <w:t xml:space="preserve">, the gene of which has a strong, tapetum-specific promoter. However, it has been noted that sometimes endogenous enhancer elements in the host genome can, depending upon where the </w:t>
      </w:r>
      <w:r w:rsidRPr="003D4012">
        <w:rPr>
          <w:i/>
          <w:color w:val="000000" w:themeColor="text1"/>
          <w:lang w:val="en-US"/>
        </w:rPr>
        <w:t>barnase</w:t>
      </w:r>
      <w:r>
        <w:rPr>
          <w:color w:val="000000" w:themeColor="text1"/>
          <w:lang w:val="en-US"/>
        </w:rPr>
        <w:t xml:space="preserve"> gene has been integrated, result in low-level expression of Barnase in tissues other than the tapetum and this could potentially adversely affect agronomic performance. Therefore, the presence of Barstar in those tissues can decrease the between-transformant variability in expression of Barnase, thereby increasing the frequency of obtaining transformants with good agronomic performance i.e. the</w:t>
      </w:r>
      <w:r w:rsidRPr="00C9200D">
        <w:rPr>
          <w:color w:val="000000" w:themeColor="text1"/>
          <w:lang w:val="en-US"/>
        </w:rPr>
        <w:t xml:space="preserve"> </w:t>
      </w:r>
      <w:r>
        <w:rPr>
          <w:color w:val="000000" w:themeColor="text1"/>
          <w:lang w:val="en-US"/>
        </w:rPr>
        <w:t>presence of Barstar in non-tapetum cells</w:t>
      </w:r>
      <w:r w:rsidRPr="00C9200D">
        <w:rPr>
          <w:color w:val="000000" w:themeColor="text1"/>
          <w:lang w:val="en-US"/>
        </w:rPr>
        <w:t xml:space="preserve"> actually improve</w:t>
      </w:r>
      <w:r>
        <w:rPr>
          <w:color w:val="000000" w:themeColor="text1"/>
          <w:lang w:val="en-US"/>
        </w:rPr>
        <w:t>s the likelihood of obtaining a high percentage of good</w:t>
      </w:r>
      <w:r w:rsidR="00D244D3">
        <w:rPr>
          <w:color w:val="000000" w:themeColor="text1"/>
          <w:lang w:val="en-US"/>
        </w:rPr>
        <w:t>-performing</w:t>
      </w:r>
      <w:r>
        <w:rPr>
          <w:color w:val="000000" w:themeColor="text1"/>
          <w:lang w:val="en-US"/>
        </w:rPr>
        <w:t xml:space="preserve"> male sterile plants </w:t>
      </w:r>
      <w:r>
        <w:rPr>
          <w:noProof/>
          <w:color w:val="000000" w:themeColor="text1"/>
          <w:lang w:val="en-US"/>
        </w:rPr>
        <w:t>(Michiels et al. 2000)</w:t>
      </w:r>
      <w:r>
        <w:rPr>
          <w:color w:val="000000" w:themeColor="text1"/>
          <w:lang w:val="en-US"/>
        </w:rPr>
        <w:t>.</w:t>
      </w:r>
    </w:p>
    <w:p w14:paraId="73640368" w14:textId="77777777" w:rsidR="0033454E" w:rsidRPr="00C9200D" w:rsidRDefault="0033454E" w:rsidP="0033454E">
      <w:pPr>
        <w:rPr>
          <w:color w:val="000000" w:themeColor="text1"/>
          <w:szCs w:val="22"/>
          <w:lang w:val="en-US"/>
        </w:rPr>
      </w:pPr>
    </w:p>
    <w:p w14:paraId="5EE3AB55" w14:textId="77777777" w:rsidR="0033454E" w:rsidRDefault="0033454E" w:rsidP="0033454E">
      <w:pPr>
        <w:rPr>
          <w:color w:val="000000" w:themeColor="text1"/>
          <w:szCs w:val="22"/>
          <w:lang w:val="en-US"/>
        </w:rPr>
      </w:pPr>
      <w:r>
        <w:rPr>
          <w:color w:val="000000" w:themeColor="text1"/>
          <w:szCs w:val="22"/>
          <w:lang w:val="en-US"/>
        </w:rPr>
        <w:t xml:space="preserve">It is the Applicant’s intention to commercially cultivate canola varieties containing the MS11 event in all major canola-producing countries including Australia, where application will be made to the Office of the Gene Technology </w:t>
      </w:r>
      <w:r w:rsidRPr="004E69B6">
        <w:rPr>
          <w:color w:val="000000" w:themeColor="text1"/>
          <w:szCs w:val="22"/>
          <w:lang w:val="en-US"/>
        </w:rPr>
        <w:t>Regulator (OGTR) for a</w:t>
      </w:r>
      <w:r>
        <w:rPr>
          <w:color w:val="000000" w:themeColor="text1"/>
          <w:szCs w:val="22"/>
          <w:lang w:val="en-US"/>
        </w:rPr>
        <w:t xml:space="preserve"> commercial release. Therefore, it is anticipated food products derived from canola containing this event will enter the Australian and New Zealand food supplies via local production and imports from major canola-producing countries.</w:t>
      </w:r>
    </w:p>
    <w:p w14:paraId="5F30D423" w14:textId="77777777" w:rsidR="0033454E" w:rsidRPr="00C9200D" w:rsidRDefault="0033454E" w:rsidP="0033454E">
      <w:pPr>
        <w:rPr>
          <w:color w:val="000000" w:themeColor="text1"/>
          <w:szCs w:val="22"/>
          <w:lang w:val="en-US"/>
        </w:rPr>
      </w:pPr>
    </w:p>
    <w:p w14:paraId="6F473102" w14:textId="77777777" w:rsidR="0033454E" w:rsidRPr="0016282E" w:rsidRDefault="0033454E" w:rsidP="0033454E">
      <w:pPr>
        <w:pStyle w:val="Heading1"/>
        <w:ind w:left="720" w:hanging="720"/>
        <w:jc w:val="both"/>
        <w:rPr>
          <w:color w:val="000000" w:themeColor="text1"/>
          <w:szCs w:val="36"/>
        </w:rPr>
      </w:pPr>
      <w:bookmarkStart w:id="13" w:name="_Toc481491424"/>
      <w:r w:rsidRPr="0016282E">
        <w:rPr>
          <w:color w:val="000000" w:themeColor="text1"/>
          <w:szCs w:val="36"/>
        </w:rPr>
        <w:t>2</w:t>
      </w:r>
      <w:r w:rsidRPr="0016282E">
        <w:rPr>
          <w:color w:val="000000" w:themeColor="text1"/>
          <w:szCs w:val="36"/>
        </w:rPr>
        <w:tab/>
        <w:t>History of use</w:t>
      </w:r>
      <w:bookmarkEnd w:id="13"/>
      <w:r w:rsidRPr="0016282E">
        <w:rPr>
          <w:color w:val="000000" w:themeColor="text1"/>
          <w:szCs w:val="36"/>
        </w:rPr>
        <w:t xml:space="preserve"> </w:t>
      </w:r>
    </w:p>
    <w:p w14:paraId="193001F4" w14:textId="77777777" w:rsidR="0033454E" w:rsidRPr="0016282E" w:rsidRDefault="0033454E" w:rsidP="0033454E">
      <w:pPr>
        <w:pStyle w:val="Heading2"/>
        <w:rPr>
          <w:color w:val="000000" w:themeColor="text1"/>
        </w:rPr>
      </w:pPr>
      <w:bookmarkStart w:id="14" w:name="_Toc481491425"/>
      <w:r w:rsidRPr="0016282E">
        <w:rPr>
          <w:color w:val="000000" w:themeColor="text1"/>
        </w:rPr>
        <w:t>2.1</w:t>
      </w:r>
      <w:r w:rsidRPr="0016282E">
        <w:rPr>
          <w:color w:val="000000" w:themeColor="text1"/>
        </w:rPr>
        <w:tab/>
        <w:t>Host organism</w:t>
      </w:r>
      <w:bookmarkEnd w:id="14"/>
    </w:p>
    <w:p w14:paraId="61C7BA97" w14:textId="77777777" w:rsidR="0033454E" w:rsidRPr="007D3437" w:rsidRDefault="0033454E" w:rsidP="0033454E">
      <w:pPr>
        <w:rPr>
          <w:rFonts w:cs="Arial"/>
          <w:szCs w:val="22"/>
        </w:rPr>
      </w:pPr>
      <w:r w:rsidRPr="007D3437">
        <w:rPr>
          <w:rFonts w:cs="Arial"/>
          <w:szCs w:val="22"/>
        </w:rPr>
        <w:t xml:space="preserve">Canola </w:t>
      </w:r>
      <w:r>
        <w:t>(a trade name purported to be derived from</w:t>
      </w:r>
      <w:r w:rsidRPr="002200FD">
        <w:t xml:space="preserve"> ‘</w:t>
      </w:r>
      <w:r w:rsidRPr="00695180">
        <w:rPr>
          <w:u w:val="single"/>
        </w:rPr>
        <w:t>Can</w:t>
      </w:r>
      <w:r w:rsidRPr="002200FD">
        <w:t xml:space="preserve">adian </w:t>
      </w:r>
      <w:r w:rsidRPr="00605E2A">
        <w:rPr>
          <w:u w:val="single"/>
        </w:rPr>
        <w:t>o</w:t>
      </w:r>
      <w:r w:rsidRPr="002200FD">
        <w:t xml:space="preserve">il </w:t>
      </w:r>
      <w:r w:rsidRPr="00695180">
        <w:rPr>
          <w:u w:val="single"/>
        </w:rPr>
        <w:t>l</w:t>
      </w:r>
      <w:r w:rsidRPr="002200FD">
        <w:t xml:space="preserve">ow </w:t>
      </w:r>
      <w:r w:rsidRPr="00605E2A">
        <w:rPr>
          <w:u w:val="single"/>
        </w:rPr>
        <w:t>a</w:t>
      </w:r>
      <w:r w:rsidRPr="002200FD">
        <w:t xml:space="preserve">cid’) </w:t>
      </w:r>
      <w:r w:rsidRPr="007D3437">
        <w:rPr>
          <w:rFonts w:cs="Arial"/>
          <w:szCs w:val="22"/>
        </w:rPr>
        <w:t>is the name used for rapeseed (</w:t>
      </w:r>
      <w:r w:rsidRPr="007D3437">
        <w:rPr>
          <w:rFonts w:cs="Arial"/>
          <w:i/>
          <w:szCs w:val="22"/>
        </w:rPr>
        <w:t xml:space="preserve">Brassica napus, Brassica rapa </w:t>
      </w:r>
      <w:r w:rsidRPr="007D3437">
        <w:rPr>
          <w:rFonts w:cs="Arial"/>
          <w:szCs w:val="22"/>
        </w:rPr>
        <w:t>or</w:t>
      </w:r>
      <w:r w:rsidRPr="007D3437">
        <w:rPr>
          <w:rFonts w:cs="Arial"/>
          <w:i/>
          <w:szCs w:val="22"/>
        </w:rPr>
        <w:t xml:space="preserve"> Brassica juncea</w:t>
      </w:r>
      <w:r w:rsidRPr="007D3437">
        <w:rPr>
          <w:rFonts w:cs="Arial"/>
          <w:szCs w:val="22"/>
        </w:rPr>
        <w:t>) crops that have less than 2% erucic acid (a fatty acid)</w:t>
      </w:r>
      <w:r w:rsidRPr="007D3437">
        <w:rPr>
          <w:rStyle w:val="FootnoteReference"/>
          <w:rFonts w:cs="Arial"/>
          <w:szCs w:val="22"/>
        </w:rPr>
        <w:footnoteReference w:id="1"/>
      </w:r>
      <w:r w:rsidRPr="007D3437">
        <w:rPr>
          <w:rFonts w:cs="Arial"/>
          <w:szCs w:val="22"/>
        </w:rPr>
        <w:t xml:space="preserve"> and less than 30 micromoles of glucosinolates per gram of seed solids </w:t>
      </w:r>
      <w:r>
        <w:rPr>
          <w:rFonts w:cs="Arial"/>
          <w:noProof/>
          <w:szCs w:val="22"/>
        </w:rPr>
        <w:t>(OECD 2001)</w:t>
      </w:r>
      <w:r w:rsidRPr="007D3437">
        <w:rPr>
          <w:rFonts w:cs="Arial"/>
          <w:szCs w:val="22"/>
        </w:rPr>
        <w:t xml:space="preserve">. Canola varieties were first developed in Canada in the 1950s, using traditional breeding techniques, in response to a demand for food-grade rapeseed products and animal feed with improved palatability. Rapeseed-derived products that do not meet the compositional standard cannot use the trademarked term, </w:t>
      </w:r>
      <w:r w:rsidRPr="007D3437">
        <w:rPr>
          <w:rFonts w:cs="Arial"/>
          <w:i/>
          <w:szCs w:val="22"/>
        </w:rPr>
        <w:t>canola</w:t>
      </w:r>
      <w:r w:rsidRPr="001C2F51">
        <w:rPr>
          <w:rFonts w:cs="Arial"/>
          <w:szCs w:val="22"/>
        </w:rPr>
        <w:t>. In some countries, the term canola is not used and the low erucic</w:t>
      </w:r>
      <w:r>
        <w:rPr>
          <w:rFonts w:cs="Arial"/>
          <w:szCs w:val="22"/>
        </w:rPr>
        <w:t xml:space="preserve"> acid</w:t>
      </w:r>
      <w:r w:rsidRPr="001C2F51">
        <w:rPr>
          <w:rFonts w:cs="Arial"/>
          <w:szCs w:val="22"/>
        </w:rPr>
        <w:t xml:space="preserve"> crop is known generically as rapeseed.</w:t>
      </w:r>
    </w:p>
    <w:p w14:paraId="464E2199" w14:textId="77777777" w:rsidR="0033454E" w:rsidRPr="007D3437" w:rsidRDefault="0033454E" w:rsidP="0033454E">
      <w:pPr>
        <w:rPr>
          <w:rFonts w:eastAsia="Batang" w:cs="Arial"/>
          <w:szCs w:val="22"/>
        </w:rPr>
      </w:pPr>
    </w:p>
    <w:p w14:paraId="3E6BD641" w14:textId="01B5D3EA" w:rsidR="0033454E" w:rsidRDefault="0033454E" w:rsidP="0033454E">
      <w:pPr>
        <w:rPr>
          <w:rFonts w:cs="Arial"/>
          <w:szCs w:val="22"/>
        </w:rPr>
      </w:pPr>
      <w:r w:rsidRPr="007D3437">
        <w:rPr>
          <w:rFonts w:cs="Arial"/>
          <w:szCs w:val="22"/>
        </w:rPr>
        <w:t>Rapeseed is the second largest oilseed crop in the world behind soybean</w:t>
      </w:r>
      <w:r>
        <w:rPr>
          <w:rFonts w:cs="Arial"/>
          <w:szCs w:val="22"/>
        </w:rPr>
        <w:t>. In 2014</w:t>
      </w:r>
      <w:r w:rsidRPr="007D3437">
        <w:rPr>
          <w:rFonts w:cs="Arial"/>
          <w:szCs w:val="22"/>
        </w:rPr>
        <w:t xml:space="preserve">, </w:t>
      </w:r>
      <w:r>
        <w:rPr>
          <w:rFonts w:cs="Arial"/>
          <w:szCs w:val="22"/>
        </w:rPr>
        <w:t>world production was 73.</w:t>
      </w:r>
      <w:r w:rsidRPr="004E69B6">
        <w:rPr>
          <w:rFonts w:cs="Arial"/>
          <w:szCs w:val="22"/>
        </w:rPr>
        <w:t>8 MT and</w:t>
      </w:r>
      <w:r>
        <w:rPr>
          <w:rFonts w:cs="Arial"/>
          <w:szCs w:val="22"/>
        </w:rPr>
        <w:t xml:space="preserve"> </w:t>
      </w:r>
      <w:r w:rsidRPr="007D3437">
        <w:rPr>
          <w:rFonts w:cs="Arial"/>
          <w:szCs w:val="22"/>
        </w:rPr>
        <w:t>the major</w:t>
      </w:r>
      <w:r>
        <w:rPr>
          <w:rFonts w:cs="Arial"/>
          <w:szCs w:val="22"/>
        </w:rPr>
        <w:t xml:space="preserve"> oilseed rape producing countries</w:t>
      </w:r>
      <w:r w:rsidRPr="007D3437">
        <w:rPr>
          <w:rFonts w:cs="Arial"/>
          <w:szCs w:val="22"/>
        </w:rPr>
        <w:t xml:space="preserve"> </w:t>
      </w:r>
      <w:r>
        <w:rPr>
          <w:rFonts w:cs="Arial"/>
          <w:szCs w:val="22"/>
        </w:rPr>
        <w:t>were Canada (15.6 MT), China (14.8 MT</w:t>
      </w:r>
      <w:r w:rsidRPr="007D3437">
        <w:rPr>
          <w:rFonts w:cs="Arial"/>
          <w:szCs w:val="22"/>
        </w:rPr>
        <w:t>)</w:t>
      </w:r>
      <w:r>
        <w:rPr>
          <w:rFonts w:cs="Arial"/>
          <w:szCs w:val="22"/>
        </w:rPr>
        <w:t xml:space="preserve"> and India (7.8 MT); Australia ranked 6</w:t>
      </w:r>
      <w:r w:rsidRPr="0061658D">
        <w:rPr>
          <w:rFonts w:cs="Arial"/>
          <w:szCs w:val="22"/>
          <w:vertAlign w:val="superscript"/>
        </w:rPr>
        <w:t>th</w:t>
      </w:r>
      <w:r>
        <w:rPr>
          <w:rFonts w:cs="Arial"/>
          <w:szCs w:val="22"/>
        </w:rPr>
        <w:t xml:space="preserve"> at 3.8 </w:t>
      </w:r>
      <w:r w:rsidRPr="00F11AD5">
        <w:rPr>
          <w:rFonts w:cs="Arial"/>
          <w:szCs w:val="22"/>
        </w:rPr>
        <w:t xml:space="preserve">MT </w:t>
      </w:r>
      <w:r>
        <w:rPr>
          <w:rFonts w:cs="Arial"/>
          <w:noProof/>
          <w:szCs w:val="22"/>
        </w:rPr>
        <w:t>(FAOSTAT3 2015)</w:t>
      </w:r>
      <w:r>
        <w:rPr>
          <w:rFonts w:cs="Arial"/>
          <w:szCs w:val="22"/>
        </w:rPr>
        <w:t xml:space="preserve">. </w:t>
      </w:r>
      <w:r w:rsidRPr="002200FD">
        <w:rPr>
          <w:rFonts w:cs="Arial"/>
        </w:rPr>
        <w:t xml:space="preserve">In the case of </w:t>
      </w:r>
      <w:r>
        <w:rPr>
          <w:rFonts w:cs="Arial"/>
        </w:rPr>
        <w:t xml:space="preserve">China and </w:t>
      </w:r>
      <w:r w:rsidRPr="002200FD">
        <w:rPr>
          <w:rFonts w:cs="Arial"/>
        </w:rPr>
        <w:t>India, a significant amount of</w:t>
      </w:r>
      <w:r>
        <w:rPr>
          <w:rFonts w:cs="Arial"/>
        </w:rPr>
        <w:t xml:space="preserve"> non-canola quality rapeseed</w:t>
      </w:r>
      <w:r w:rsidRPr="002200FD">
        <w:rPr>
          <w:rFonts w:cs="Arial"/>
        </w:rPr>
        <w:t>, is i</w:t>
      </w:r>
      <w:r>
        <w:rPr>
          <w:rFonts w:cs="Arial"/>
        </w:rPr>
        <w:t>ncluded in the term ‘rapeseed’. All of Australia’s production is canola. New Zealand canola production was minor at approximately 3,000 T. In 2013,</w:t>
      </w:r>
      <w:r>
        <w:rPr>
          <w:rFonts w:cs="Arial"/>
          <w:szCs w:val="22"/>
        </w:rPr>
        <w:t xml:space="preserve"> Canada was the largest exporter of canola seed (6.9 MT)</w:t>
      </w:r>
      <w:r w:rsidRPr="007D3437">
        <w:rPr>
          <w:rFonts w:cs="Arial"/>
          <w:szCs w:val="22"/>
        </w:rPr>
        <w:t xml:space="preserve">, </w:t>
      </w:r>
      <w:r>
        <w:rPr>
          <w:rFonts w:cs="Arial"/>
          <w:szCs w:val="22"/>
        </w:rPr>
        <w:t>while Australia was the second largest exporter at 3.8 MT. Australia’s major export destinations in 2015</w:t>
      </w:r>
      <w:r w:rsidR="00E5589F">
        <w:rPr>
          <w:rFonts w:cs="Arial"/>
          <w:szCs w:val="22"/>
        </w:rPr>
        <w:t>–</w:t>
      </w:r>
      <w:r>
        <w:rPr>
          <w:rFonts w:cs="Arial"/>
          <w:szCs w:val="22"/>
        </w:rPr>
        <w:t xml:space="preserve">16 were Europe, Japan and Bangladesh </w:t>
      </w:r>
      <w:r>
        <w:rPr>
          <w:rFonts w:cs="Arial"/>
          <w:noProof/>
          <w:szCs w:val="22"/>
        </w:rPr>
        <w:t>(AOF 2016)</w:t>
      </w:r>
      <w:r>
        <w:rPr>
          <w:rFonts w:cs="Arial"/>
          <w:szCs w:val="22"/>
        </w:rPr>
        <w:t xml:space="preserve"> and represented around 15% of the world’s canola export trade.</w:t>
      </w:r>
    </w:p>
    <w:p w14:paraId="4A075620" w14:textId="77777777" w:rsidR="0033454E" w:rsidRDefault="0033454E" w:rsidP="0033454E">
      <w:pPr>
        <w:rPr>
          <w:rFonts w:cs="Arial"/>
          <w:szCs w:val="22"/>
        </w:rPr>
      </w:pPr>
    </w:p>
    <w:p w14:paraId="167FF3A7" w14:textId="60D96A1B" w:rsidR="0033454E" w:rsidRPr="007D3437" w:rsidRDefault="0033454E" w:rsidP="0033454E">
      <w:pPr>
        <w:rPr>
          <w:rFonts w:cs="Arial"/>
          <w:szCs w:val="22"/>
        </w:rPr>
      </w:pPr>
      <w:r>
        <w:rPr>
          <w:rFonts w:cs="Arial"/>
          <w:szCs w:val="22"/>
        </w:rPr>
        <w:t xml:space="preserve">In Australia, canola is the third largest broad acre crop behind wheat and barley and the growing area extends from south-western Western Australia to south-eastern Australia and northern New South Wales. GM canola now accounts for approximately 20% of the total Australian </w:t>
      </w:r>
      <w:r w:rsidR="007D76F3">
        <w:rPr>
          <w:rFonts w:cs="Arial"/>
          <w:szCs w:val="22"/>
        </w:rPr>
        <w:t xml:space="preserve">canola </w:t>
      </w:r>
      <w:r>
        <w:rPr>
          <w:rFonts w:cs="Arial"/>
          <w:szCs w:val="22"/>
        </w:rPr>
        <w:t>crop.</w:t>
      </w:r>
    </w:p>
    <w:p w14:paraId="45B301F8" w14:textId="77777777" w:rsidR="0033454E" w:rsidRPr="007D3437" w:rsidRDefault="0033454E" w:rsidP="0033454E">
      <w:pPr>
        <w:rPr>
          <w:rFonts w:cs="Arial"/>
          <w:szCs w:val="22"/>
        </w:rPr>
      </w:pPr>
    </w:p>
    <w:p w14:paraId="6E739F71" w14:textId="77777777" w:rsidR="00B20711" w:rsidRDefault="00B20711" w:rsidP="0033454E">
      <w:pPr>
        <w:rPr>
          <w:rFonts w:cs="Arial"/>
          <w:iCs/>
          <w:szCs w:val="22"/>
        </w:rPr>
      </w:pPr>
      <w:r>
        <w:rPr>
          <w:rFonts w:cs="Arial"/>
          <w:iCs/>
          <w:szCs w:val="22"/>
        </w:rPr>
        <w:br w:type="page"/>
      </w:r>
    </w:p>
    <w:p w14:paraId="7F5F58B0" w14:textId="06470ABD" w:rsidR="0033454E" w:rsidRDefault="0033454E" w:rsidP="0033454E">
      <w:pPr>
        <w:rPr>
          <w:rFonts w:eastAsia="Batang" w:cs="Arial"/>
          <w:color w:val="000000" w:themeColor="text1"/>
          <w:szCs w:val="22"/>
        </w:rPr>
      </w:pPr>
      <w:r w:rsidRPr="007D3437">
        <w:rPr>
          <w:rFonts w:cs="Arial"/>
          <w:iCs/>
          <w:szCs w:val="22"/>
        </w:rPr>
        <w:lastRenderedPageBreak/>
        <w:t xml:space="preserve">Canola seeds are processed into two major products, oil and meal. </w:t>
      </w:r>
      <w:r w:rsidR="007D76F3">
        <w:rPr>
          <w:rFonts w:cs="Arial"/>
        </w:rPr>
        <w:t>B</w:t>
      </w:r>
      <w:r w:rsidRPr="008761A6">
        <w:rPr>
          <w:rFonts w:cs="Arial"/>
        </w:rPr>
        <w:t xml:space="preserve">riefly, the processes involved in preparation of the oil and meal </w:t>
      </w:r>
      <w:r>
        <w:rPr>
          <w:rFonts w:cs="Arial"/>
          <w:noProof/>
        </w:rPr>
        <w:t>(CCC 2012)</w:t>
      </w:r>
      <w:r w:rsidRPr="008761A6">
        <w:rPr>
          <w:rFonts w:cs="Arial"/>
        </w:rPr>
        <w:t xml:space="preserve"> involve </w:t>
      </w:r>
      <w:r w:rsidRPr="008761A6">
        <w:rPr>
          <w:rFonts w:cs="Arial"/>
          <w:lang w:eastAsia="en-AU"/>
        </w:rPr>
        <w:t>seed cleaning, seed pre-conditioning and flaking, seed cooking, pressing the flake to mechanically remove a portion of the oil, solvent extraction of the press-cake to remove the remai</w:t>
      </w:r>
      <w:r>
        <w:rPr>
          <w:rFonts w:cs="Arial"/>
          <w:lang w:eastAsia="en-AU"/>
        </w:rPr>
        <w:t>nder of the oil, and desolventis</w:t>
      </w:r>
      <w:r w:rsidRPr="008761A6">
        <w:rPr>
          <w:rFonts w:cs="Arial"/>
          <w:lang w:eastAsia="en-AU"/>
        </w:rPr>
        <w:t>ing and toasting of the meal</w:t>
      </w:r>
      <w:r>
        <w:rPr>
          <w:rFonts w:cs="Arial"/>
          <w:lang w:eastAsia="en-AU"/>
        </w:rPr>
        <w:t>.</w:t>
      </w:r>
      <w:r>
        <w:rPr>
          <w:rFonts w:cs="Arial"/>
          <w:szCs w:val="22"/>
        </w:rPr>
        <w:t xml:space="preserve"> </w:t>
      </w:r>
      <w:r w:rsidRPr="007D3437">
        <w:rPr>
          <w:rFonts w:cs="Arial"/>
          <w:iCs/>
          <w:szCs w:val="22"/>
        </w:rPr>
        <w:t xml:space="preserve">The oil is the major product for human consumption, being used in a variety of manufactured food products including salad and cooking oil, margarine, shortening and a range of prepared foods such as mayonnaise, sandwich spreads, creamers and coffee whiteners. The meal provides a good protein source </w:t>
      </w:r>
      <w:r>
        <w:rPr>
          <w:rFonts w:cs="Arial"/>
          <w:iCs/>
          <w:szCs w:val="22"/>
        </w:rPr>
        <w:t xml:space="preserve">in </w:t>
      </w:r>
      <w:r w:rsidRPr="007D3437">
        <w:rPr>
          <w:rFonts w:cs="Arial"/>
          <w:iCs/>
          <w:szCs w:val="22"/>
        </w:rPr>
        <w:t>stock feed for a variety of animals, primarily pigs, poultry and dairy cattle</w:t>
      </w:r>
      <w:r>
        <w:rPr>
          <w:rFonts w:cs="Arial"/>
          <w:iCs/>
          <w:szCs w:val="22"/>
        </w:rPr>
        <w:t xml:space="preserve"> </w:t>
      </w:r>
      <w:r>
        <w:rPr>
          <w:iCs/>
          <w:noProof/>
        </w:rPr>
        <w:t>(Bonnardeaux 2007)</w:t>
      </w:r>
      <w:r>
        <w:rPr>
          <w:rFonts w:cs="Arial"/>
          <w:iCs/>
          <w:szCs w:val="22"/>
        </w:rPr>
        <w:t>.</w:t>
      </w:r>
      <w:r w:rsidRPr="007D3437">
        <w:rPr>
          <w:rFonts w:cs="Arial"/>
          <w:i/>
          <w:szCs w:val="22"/>
        </w:rPr>
        <w:t xml:space="preserve"> </w:t>
      </w:r>
      <w:r w:rsidRPr="001C2F51">
        <w:rPr>
          <w:rFonts w:cs="Arial"/>
          <w:szCs w:val="22"/>
        </w:rPr>
        <w:t xml:space="preserve">More recently, it has been identified as </w:t>
      </w:r>
      <w:r>
        <w:rPr>
          <w:rFonts w:cs="Arial"/>
          <w:szCs w:val="22"/>
        </w:rPr>
        <w:t xml:space="preserve">a potential alternative source of protein </w:t>
      </w:r>
      <w:r w:rsidR="00E92D94">
        <w:rPr>
          <w:rFonts w:cs="Arial"/>
          <w:szCs w:val="22"/>
        </w:rPr>
        <w:t xml:space="preserve">isolate </w:t>
      </w:r>
      <w:r>
        <w:rPr>
          <w:rFonts w:cs="Arial"/>
          <w:szCs w:val="22"/>
        </w:rPr>
        <w:t xml:space="preserve">for </w:t>
      </w:r>
      <w:hyperlink r:id="rId17" w:history="1">
        <w:r w:rsidRPr="00D447BD">
          <w:rPr>
            <w:rStyle w:val="Hyperlink"/>
            <w:rFonts w:cs="Arial"/>
            <w:iCs/>
            <w:szCs w:val="22"/>
          </w:rPr>
          <w:t>aquaculture</w:t>
        </w:r>
      </w:hyperlink>
      <w:r>
        <w:rPr>
          <w:rStyle w:val="FootnoteReference"/>
          <w:rFonts w:cs="Arial"/>
          <w:iCs/>
          <w:szCs w:val="22"/>
        </w:rPr>
        <w:footnoteReference w:id="2"/>
      </w:r>
      <w:r>
        <w:rPr>
          <w:rFonts w:cs="Arial"/>
          <w:iCs/>
          <w:szCs w:val="22"/>
        </w:rPr>
        <w:t xml:space="preserve"> </w:t>
      </w:r>
      <w:r>
        <w:rPr>
          <w:rFonts w:cs="Arial"/>
          <w:szCs w:val="22"/>
        </w:rPr>
        <w:t xml:space="preserve">and human consumption </w:t>
      </w:r>
      <w:r>
        <w:rPr>
          <w:rFonts w:cs="Arial"/>
          <w:noProof/>
          <w:szCs w:val="22"/>
        </w:rPr>
        <w:t>(Campbell et al. 2016)</w:t>
      </w:r>
      <w:r>
        <w:rPr>
          <w:rFonts w:cs="Arial"/>
          <w:szCs w:val="22"/>
        </w:rPr>
        <w:t xml:space="preserve">. </w:t>
      </w:r>
      <w:r w:rsidRPr="001C2F51">
        <w:rPr>
          <w:rFonts w:cs="Arial"/>
          <w:szCs w:val="22"/>
        </w:rPr>
        <w:t>Whole</w:t>
      </w:r>
      <w:r w:rsidRPr="007D3437">
        <w:rPr>
          <w:rFonts w:cs="Arial"/>
          <w:szCs w:val="22"/>
        </w:rPr>
        <w:t xml:space="preserve"> canola seeds are being used increasi</w:t>
      </w:r>
      <w:r>
        <w:rPr>
          <w:rFonts w:cs="Arial"/>
          <w:szCs w:val="22"/>
        </w:rPr>
        <w:t>ngly in products such as breads</w:t>
      </w:r>
      <w:r>
        <w:rPr>
          <w:rFonts w:eastAsia="Batang" w:cs="Arial"/>
          <w:color w:val="000000" w:themeColor="text1"/>
          <w:szCs w:val="22"/>
        </w:rPr>
        <w:t>.</w:t>
      </w:r>
    </w:p>
    <w:p w14:paraId="07DA50BA" w14:textId="77777777" w:rsidR="0033454E" w:rsidRDefault="0033454E" w:rsidP="0033454E">
      <w:pPr>
        <w:rPr>
          <w:rFonts w:eastAsia="Batang" w:cs="Arial"/>
          <w:color w:val="000000" w:themeColor="text1"/>
          <w:szCs w:val="22"/>
        </w:rPr>
      </w:pPr>
    </w:p>
    <w:p w14:paraId="5D579B8D" w14:textId="77777777" w:rsidR="0033454E" w:rsidRDefault="0033454E" w:rsidP="0033454E">
      <w:pPr>
        <w:rPr>
          <w:rFonts w:cs="Arial"/>
          <w:color w:val="000000" w:themeColor="text1"/>
          <w:szCs w:val="22"/>
          <w:lang w:eastAsia="en-GB"/>
        </w:rPr>
      </w:pPr>
      <w:r w:rsidRPr="00D94890">
        <w:rPr>
          <w:rFonts w:cs="Arial"/>
          <w:color w:val="000000" w:themeColor="text1"/>
          <w:szCs w:val="22"/>
          <w:lang w:eastAsia="en-GB"/>
        </w:rPr>
        <w:t>Another possible food product that</w:t>
      </w:r>
      <w:r>
        <w:rPr>
          <w:rFonts w:cs="Arial"/>
          <w:color w:val="000000" w:themeColor="text1"/>
          <w:szCs w:val="22"/>
          <w:lang w:eastAsia="en-GB"/>
        </w:rPr>
        <w:t xml:space="preserve"> can be derived from the canola plant is bee pollen </w:t>
      </w:r>
      <w:r>
        <w:rPr>
          <w:rFonts w:cs="Arial"/>
          <w:noProof/>
          <w:color w:val="000000" w:themeColor="text1"/>
          <w:szCs w:val="22"/>
          <w:lang w:eastAsia="en-GB"/>
        </w:rPr>
        <w:t>(Bogdanov 2016)</w:t>
      </w:r>
      <w:r>
        <w:rPr>
          <w:rFonts w:cs="Arial"/>
          <w:color w:val="000000" w:themeColor="text1"/>
          <w:szCs w:val="22"/>
          <w:lang w:eastAsia="en-GB"/>
        </w:rPr>
        <w:t>. In the case of MS11, since pollen grains are not produced, this line would not be a source of bee pollen. However, the MS11 x RF3 hybrid would produce viable pollen.</w:t>
      </w:r>
    </w:p>
    <w:p w14:paraId="04F761F8" w14:textId="77777777" w:rsidR="0033454E" w:rsidRDefault="0033454E" w:rsidP="0033454E">
      <w:pPr>
        <w:rPr>
          <w:rFonts w:cs="Arial"/>
          <w:szCs w:val="22"/>
        </w:rPr>
      </w:pPr>
    </w:p>
    <w:p w14:paraId="2176103B" w14:textId="531E8F38" w:rsidR="0033454E" w:rsidRPr="009C75A1" w:rsidRDefault="0033454E" w:rsidP="0033454E">
      <w:pPr>
        <w:rPr>
          <w:rFonts w:cs="Arial"/>
          <w:color w:val="000000" w:themeColor="text1"/>
          <w:szCs w:val="22"/>
        </w:rPr>
      </w:pPr>
      <w:r w:rsidRPr="009C75A1">
        <w:rPr>
          <w:rFonts w:cs="Arial"/>
          <w:color w:val="000000" w:themeColor="text1"/>
          <w:szCs w:val="22"/>
        </w:rPr>
        <w:t xml:space="preserve">The canola variety used as the recipient of the DNA insertion to create MS11 </w:t>
      </w:r>
      <w:r w:rsidRPr="00C11EDD">
        <w:rPr>
          <w:rFonts w:cs="Arial"/>
          <w:color w:val="000000" w:themeColor="text1"/>
          <w:szCs w:val="22"/>
        </w:rPr>
        <w:t>was</w:t>
      </w:r>
      <w:r w:rsidR="00012EF3">
        <w:rPr>
          <w:rFonts w:cs="Arial"/>
          <w:color w:val="000000" w:themeColor="text1"/>
          <w:szCs w:val="22"/>
        </w:rPr>
        <w:t xml:space="preserve"> </w:t>
      </w:r>
      <w:r w:rsidR="00012EF3" w:rsidRPr="00012EF3">
        <w:rPr>
          <w:rFonts w:cs="Arial"/>
          <w:i/>
          <w:color w:val="000000" w:themeColor="text1"/>
          <w:szCs w:val="22"/>
        </w:rPr>
        <w:t>B. napus</w:t>
      </w:r>
      <w:r w:rsidRPr="00012EF3">
        <w:rPr>
          <w:rFonts w:cs="Arial"/>
          <w:i/>
          <w:color w:val="000000" w:themeColor="text1"/>
          <w:szCs w:val="22"/>
        </w:rPr>
        <w:t xml:space="preserve"> </w:t>
      </w:r>
      <w:r w:rsidRPr="00C11EDD">
        <w:rPr>
          <w:rFonts w:cs="Arial"/>
          <w:color w:val="000000" w:themeColor="text1"/>
          <w:szCs w:val="22"/>
        </w:rPr>
        <w:t>N90-740.</w:t>
      </w:r>
      <w:r>
        <w:rPr>
          <w:rFonts w:cs="Arial"/>
          <w:color w:val="000000" w:themeColor="text1"/>
          <w:szCs w:val="22"/>
        </w:rPr>
        <w:t xml:space="preserve"> This is a non-GM, open-pollinated non-proprietary line that originated from Agriculture and Agri-Food Canada and has good transformation characteristics.</w:t>
      </w:r>
    </w:p>
    <w:p w14:paraId="4959768F" w14:textId="77777777" w:rsidR="0033454E" w:rsidRPr="009C75A1" w:rsidRDefault="0033454E" w:rsidP="0033454E">
      <w:pPr>
        <w:pStyle w:val="Heading2"/>
        <w:rPr>
          <w:color w:val="000000" w:themeColor="text1"/>
        </w:rPr>
      </w:pPr>
      <w:bookmarkStart w:id="15" w:name="_Toc481491426"/>
      <w:r w:rsidRPr="009C75A1">
        <w:rPr>
          <w:color w:val="000000" w:themeColor="text1"/>
        </w:rPr>
        <w:t>2.2</w:t>
      </w:r>
      <w:r w:rsidRPr="009C75A1">
        <w:rPr>
          <w:color w:val="000000" w:themeColor="text1"/>
        </w:rPr>
        <w:tab/>
        <w:t>Donor organisms</w:t>
      </w:r>
      <w:bookmarkEnd w:id="15"/>
    </w:p>
    <w:p w14:paraId="08261E99" w14:textId="391398FD" w:rsidR="0033454E" w:rsidRPr="009C75A1" w:rsidRDefault="0093373F" w:rsidP="0033454E">
      <w:pPr>
        <w:pStyle w:val="Heading3"/>
      </w:pPr>
      <w:r>
        <w:t>2.2.1</w:t>
      </w:r>
      <w:r w:rsidR="0033454E" w:rsidRPr="009C75A1">
        <w:tab/>
      </w:r>
      <w:r w:rsidR="0033454E" w:rsidRPr="0093373F">
        <w:rPr>
          <w:i/>
        </w:rPr>
        <w:t>Bacillus amyloliquefaciens</w:t>
      </w:r>
    </w:p>
    <w:p w14:paraId="39709478" w14:textId="121EE20E" w:rsidR="0033454E" w:rsidRDefault="0033454E" w:rsidP="0033454E">
      <w:pPr>
        <w:widowControl/>
        <w:autoSpaceDE w:val="0"/>
        <w:autoSpaceDN w:val="0"/>
        <w:adjustRightInd w:val="0"/>
        <w:rPr>
          <w:rFonts w:cs="Arial"/>
          <w:color w:val="000000" w:themeColor="text1"/>
          <w:szCs w:val="22"/>
        </w:rPr>
      </w:pPr>
      <w:r w:rsidRPr="009C75A1">
        <w:rPr>
          <w:i/>
          <w:color w:val="000000" w:themeColor="text1"/>
        </w:rPr>
        <w:t xml:space="preserve">Bacillus amyloliquefaciens, </w:t>
      </w:r>
      <w:r w:rsidRPr="009C75A1">
        <w:rPr>
          <w:rFonts w:cs="Arial"/>
          <w:color w:val="000000" w:themeColor="text1"/>
          <w:szCs w:val="22"/>
        </w:rPr>
        <w:t xml:space="preserve">a non-pathogenic soil bacterium, is the source of the </w:t>
      </w:r>
      <w:r w:rsidRPr="009C75A1">
        <w:rPr>
          <w:rFonts w:cs="Arial"/>
          <w:i/>
          <w:color w:val="000000" w:themeColor="text1"/>
          <w:szCs w:val="22"/>
        </w:rPr>
        <w:t>barnase</w:t>
      </w:r>
      <w:r w:rsidRPr="009C75A1">
        <w:rPr>
          <w:rFonts w:cs="Arial"/>
          <w:color w:val="000000" w:themeColor="text1"/>
          <w:szCs w:val="22"/>
        </w:rPr>
        <w:t xml:space="preserve"> and </w:t>
      </w:r>
      <w:r w:rsidRPr="009C75A1">
        <w:rPr>
          <w:rFonts w:cs="Arial"/>
          <w:i/>
          <w:color w:val="000000" w:themeColor="text1"/>
          <w:szCs w:val="22"/>
        </w:rPr>
        <w:t>barstar</w:t>
      </w:r>
      <w:r w:rsidRPr="009C75A1">
        <w:rPr>
          <w:rFonts w:cs="Arial"/>
          <w:color w:val="000000" w:themeColor="text1"/>
          <w:szCs w:val="22"/>
        </w:rPr>
        <w:t xml:space="preserve"> genes. It is closely related to </w:t>
      </w:r>
      <w:r w:rsidRPr="009C75A1">
        <w:rPr>
          <w:rFonts w:cs="Arial"/>
          <w:i/>
          <w:color w:val="000000" w:themeColor="text1"/>
          <w:szCs w:val="22"/>
        </w:rPr>
        <w:t>Bacillus subtilis</w:t>
      </w:r>
      <w:r w:rsidRPr="009C75A1">
        <w:rPr>
          <w:rFonts w:cs="Arial"/>
          <w:color w:val="000000" w:themeColor="text1"/>
          <w:szCs w:val="22"/>
        </w:rPr>
        <w:t xml:space="preserve"> and, over the years, the classification of the organism has seen it as a subspecies of </w:t>
      </w:r>
      <w:r w:rsidRPr="009C75A1">
        <w:rPr>
          <w:rFonts w:cs="Arial"/>
          <w:i/>
          <w:color w:val="000000" w:themeColor="text1"/>
          <w:szCs w:val="22"/>
        </w:rPr>
        <w:t>B. subtilis</w:t>
      </w:r>
      <w:r w:rsidRPr="009C75A1">
        <w:rPr>
          <w:rFonts w:cs="Arial"/>
          <w:color w:val="000000" w:themeColor="text1"/>
          <w:szCs w:val="22"/>
        </w:rPr>
        <w:t>, a separate species</w:t>
      </w:r>
      <w:r>
        <w:rPr>
          <w:rFonts w:cs="Arial"/>
          <w:color w:val="000000" w:themeColor="text1"/>
          <w:szCs w:val="22"/>
        </w:rPr>
        <w:t xml:space="preserve"> (current classification)</w:t>
      </w:r>
      <w:r w:rsidRPr="009C75A1">
        <w:rPr>
          <w:rFonts w:cs="Arial"/>
          <w:color w:val="000000" w:themeColor="text1"/>
          <w:szCs w:val="22"/>
        </w:rPr>
        <w:t xml:space="preserve"> and as a member of the so-called </w:t>
      </w:r>
      <w:r w:rsidRPr="009C75A1">
        <w:rPr>
          <w:rFonts w:cs="Arial"/>
          <w:i/>
          <w:color w:val="000000" w:themeColor="text1"/>
          <w:szCs w:val="22"/>
        </w:rPr>
        <w:t>B.</w:t>
      </w:r>
      <w:r w:rsidR="00E5589F">
        <w:rPr>
          <w:rFonts w:cs="Arial"/>
          <w:i/>
          <w:color w:val="000000" w:themeColor="text1"/>
          <w:szCs w:val="22"/>
        </w:rPr>
        <w:t xml:space="preserve"> </w:t>
      </w:r>
      <w:r w:rsidRPr="009C75A1">
        <w:rPr>
          <w:rFonts w:cs="Arial"/>
          <w:i/>
          <w:color w:val="000000" w:themeColor="text1"/>
          <w:szCs w:val="22"/>
        </w:rPr>
        <w:t xml:space="preserve">subtilis </w:t>
      </w:r>
      <w:r w:rsidRPr="00C11EDD">
        <w:rPr>
          <w:rFonts w:cs="Arial"/>
          <w:i/>
          <w:color w:val="000000" w:themeColor="text1"/>
          <w:szCs w:val="22"/>
        </w:rPr>
        <w:t>complex</w:t>
      </w:r>
      <w:r w:rsidRPr="00C11EDD">
        <w:rPr>
          <w:rFonts w:cs="Arial"/>
          <w:color w:val="000000" w:themeColor="text1"/>
          <w:szCs w:val="22"/>
        </w:rPr>
        <w:t xml:space="preserve"> </w:t>
      </w:r>
      <w:r>
        <w:rPr>
          <w:rFonts w:cs="Arial"/>
          <w:noProof/>
          <w:color w:val="000000" w:themeColor="text1"/>
          <w:szCs w:val="22"/>
        </w:rPr>
        <w:t>(Priest et al. 1987; Environment Canada and Health Canada 2015)</w:t>
      </w:r>
      <w:r w:rsidRPr="00C11EDD">
        <w:rPr>
          <w:rFonts w:cs="Arial"/>
          <w:color w:val="000000" w:themeColor="text1"/>
          <w:szCs w:val="22"/>
        </w:rPr>
        <w:t>.The following information</w:t>
      </w:r>
      <w:r w:rsidRPr="009C75A1">
        <w:rPr>
          <w:rFonts w:cs="Arial"/>
          <w:color w:val="000000" w:themeColor="text1"/>
          <w:szCs w:val="22"/>
        </w:rPr>
        <w:t xml:space="preserve"> about </w:t>
      </w:r>
      <w:r w:rsidRPr="009C75A1">
        <w:rPr>
          <w:rFonts w:cs="Arial"/>
          <w:i/>
          <w:color w:val="000000" w:themeColor="text1"/>
          <w:szCs w:val="22"/>
        </w:rPr>
        <w:t>B. amyloliquefaciens</w:t>
      </w:r>
      <w:r w:rsidRPr="009C75A1">
        <w:rPr>
          <w:rFonts w:cs="Arial"/>
          <w:color w:val="000000" w:themeColor="text1"/>
          <w:szCs w:val="22"/>
        </w:rPr>
        <w:t xml:space="preserve"> has been sourced from a Report prepared by Environment Canada and Health Canada </w:t>
      </w:r>
      <w:r>
        <w:rPr>
          <w:rFonts w:cs="Arial"/>
          <w:noProof/>
          <w:color w:val="000000" w:themeColor="text1"/>
          <w:szCs w:val="22"/>
        </w:rPr>
        <w:t>(2015)</w:t>
      </w:r>
      <w:r w:rsidRPr="009C75A1">
        <w:rPr>
          <w:rFonts w:cs="Arial"/>
          <w:color w:val="000000" w:themeColor="text1"/>
          <w:szCs w:val="22"/>
        </w:rPr>
        <w:t xml:space="preserve">. </w:t>
      </w:r>
    </w:p>
    <w:p w14:paraId="2EFCA4F9" w14:textId="77777777" w:rsidR="0033454E" w:rsidRPr="009C75A1" w:rsidRDefault="0033454E" w:rsidP="0033454E">
      <w:pPr>
        <w:widowControl/>
        <w:autoSpaceDE w:val="0"/>
        <w:autoSpaceDN w:val="0"/>
        <w:adjustRightInd w:val="0"/>
        <w:rPr>
          <w:rFonts w:cs="Arial"/>
          <w:color w:val="000000" w:themeColor="text1"/>
          <w:szCs w:val="22"/>
        </w:rPr>
      </w:pPr>
    </w:p>
    <w:p w14:paraId="2D51B515" w14:textId="326796AF" w:rsidR="0033454E" w:rsidRDefault="0033454E" w:rsidP="00AD4317">
      <w:pPr>
        <w:pStyle w:val="FSBullet1"/>
        <w:rPr>
          <w:lang w:eastAsia="en-GB"/>
        </w:rPr>
      </w:pPr>
      <w:r w:rsidRPr="003F1627">
        <w:rPr>
          <w:lang w:eastAsia="en-GB"/>
        </w:rPr>
        <w:t>It is widely distributed in nature in a variety of habitats; it has been isolated from the inner tissues and rhizosphere of healthy plants and has a history of use in industrial fermentation and pest control e.g. strains have been approved for use as biocontrol agents against fungal disease in terrestrial plants</w:t>
      </w:r>
    </w:p>
    <w:p w14:paraId="4B0C8F8A" w14:textId="77777777" w:rsidR="00E5589F" w:rsidRPr="003F1627" w:rsidRDefault="00E5589F" w:rsidP="00AD4317">
      <w:pPr>
        <w:pStyle w:val="ListParagraph"/>
        <w:widowControl/>
        <w:autoSpaceDE w:val="0"/>
        <w:autoSpaceDN w:val="0"/>
        <w:adjustRightInd w:val="0"/>
        <w:ind w:left="567"/>
        <w:rPr>
          <w:rFonts w:cs="Arial"/>
          <w:color w:val="000000" w:themeColor="text1"/>
          <w:szCs w:val="22"/>
          <w:lang w:eastAsia="en-GB" w:bidi="ar-SA"/>
        </w:rPr>
      </w:pPr>
    </w:p>
    <w:p w14:paraId="329CAB30" w14:textId="57E25FC8" w:rsidR="0033454E" w:rsidRDefault="0033454E" w:rsidP="00AD4317">
      <w:pPr>
        <w:pStyle w:val="FSBullet1"/>
      </w:pPr>
      <w:r w:rsidRPr="003F1627">
        <w:rPr>
          <w:lang w:eastAsia="en-GB"/>
        </w:rPr>
        <w:t xml:space="preserve">There is no evidence that it causes infection or adverse effects in aquatic or terrestrial plants, vertebrates or invertebrates; </w:t>
      </w:r>
      <w:r w:rsidRPr="003F1627">
        <w:t xml:space="preserve">Testing of pesticidal strains of </w:t>
      </w:r>
      <w:r w:rsidRPr="003F1627">
        <w:rPr>
          <w:i/>
          <w:iCs/>
        </w:rPr>
        <w:t xml:space="preserve">B. amyloliquefaciens </w:t>
      </w:r>
      <w:r w:rsidRPr="003F1627">
        <w:t>in models of human infection indicates a low pathogenic or toxic potential.</w:t>
      </w:r>
    </w:p>
    <w:p w14:paraId="22816083" w14:textId="77777777" w:rsidR="00E5589F" w:rsidRPr="00AD4317" w:rsidRDefault="00E5589F" w:rsidP="00AD4317">
      <w:pPr>
        <w:rPr>
          <w:lang w:bidi="ar-SA"/>
        </w:rPr>
      </w:pPr>
    </w:p>
    <w:p w14:paraId="3F6031FF" w14:textId="59E98781" w:rsidR="0033454E" w:rsidRDefault="0033454E" w:rsidP="00AD4317">
      <w:pPr>
        <w:pStyle w:val="FSBullet1"/>
        <w:rPr>
          <w:lang w:eastAsia="en-GB"/>
        </w:rPr>
      </w:pPr>
      <w:r w:rsidRPr="003F1627">
        <w:t xml:space="preserve">It is used as a production micro-organism of enzymes (e.g. amylase, isoprene, protease, non-structural protein 3, ribonuclease, and phytases), biosurfactants, antibiotics and detergents which have industrial and commercial applications including cleaning, degreasing, and antibacterial applications. </w:t>
      </w:r>
      <w:r w:rsidRPr="003F1627">
        <w:rPr>
          <w:lang w:eastAsia="en-GB"/>
        </w:rPr>
        <w:t xml:space="preserve">FSANZ has previously assessed </w:t>
      </w:r>
      <w:r w:rsidRPr="003F1627">
        <w:rPr>
          <w:i/>
          <w:iCs/>
          <w:lang w:eastAsia="en-GB"/>
        </w:rPr>
        <w:t xml:space="preserve">B. amyloliquefaciens </w:t>
      </w:r>
      <w:r w:rsidRPr="003F1627">
        <w:rPr>
          <w:lang w:eastAsia="en-GB"/>
        </w:rPr>
        <w:t>as a safe production organism for a number of food-grade enzymes</w:t>
      </w:r>
      <w:r w:rsidR="00E84D1C">
        <w:rPr>
          <w:lang w:eastAsia="en-GB"/>
        </w:rPr>
        <w:t xml:space="preserve"> (see </w:t>
      </w:r>
      <w:hyperlink r:id="rId18" w:history="1">
        <w:r w:rsidR="00E84D1C" w:rsidRPr="00E84D1C">
          <w:rPr>
            <w:rStyle w:val="Hyperlink"/>
            <w:szCs w:val="22"/>
            <w:lang w:eastAsia="en-GB"/>
          </w:rPr>
          <w:t>Schedule 18</w:t>
        </w:r>
      </w:hyperlink>
      <w:r w:rsidR="00E84D1C">
        <w:rPr>
          <w:rStyle w:val="FootnoteReference"/>
          <w:color w:val="000000" w:themeColor="text1"/>
          <w:szCs w:val="22"/>
          <w:lang w:eastAsia="en-GB"/>
        </w:rPr>
        <w:footnoteReference w:id="3"/>
      </w:r>
      <w:r w:rsidR="00E84D1C">
        <w:rPr>
          <w:lang w:eastAsia="en-GB"/>
        </w:rPr>
        <w:t xml:space="preserve"> of the Code)</w:t>
      </w:r>
      <w:r w:rsidRPr="003F1627">
        <w:rPr>
          <w:lang w:eastAsia="en-GB"/>
        </w:rPr>
        <w:t>.</w:t>
      </w:r>
    </w:p>
    <w:p w14:paraId="6F004DDB" w14:textId="77777777" w:rsidR="00E5589F" w:rsidRPr="00E5589F" w:rsidRDefault="00E5589F" w:rsidP="00AD4317">
      <w:pPr>
        <w:rPr>
          <w:lang w:eastAsia="en-GB" w:bidi="ar-SA"/>
        </w:rPr>
      </w:pPr>
    </w:p>
    <w:p w14:paraId="686ACA24" w14:textId="799B88E6" w:rsidR="00B20711" w:rsidRDefault="0033454E" w:rsidP="00AD4317">
      <w:pPr>
        <w:pStyle w:val="FSBullet1"/>
        <w:rPr>
          <w:lang w:eastAsia="en-GB"/>
        </w:rPr>
      </w:pPr>
      <w:r w:rsidRPr="003F1627">
        <w:rPr>
          <w:lang w:eastAsia="en-GB"/>
        </w:rPr>
        <w:t>It has been applied in a mixture with other bacterial species for water and waste water treatment to treat algal blooms, odours and sludge build-up.</w:t>
      </w:r>
      <w:r w:rsidR="00B20711">
        <w:rPr>
          <w:lang w:eastAsia="en-GB"/>
        </w:rPr>
        <w:br w:type="page"/>
      </w:r>
    </w:p>
    <w:p w14:paraId="63D9C45B" w14:textId="40594078" w:rsidR="0033454E" w:rsidRPr="009C75A1" w:rsidRDefault="0093373F" w:rsidP="0033454E">
      <w:pPr>
        <w:pStyle w:val="Heading3"/>
      </w:pPr>
      <w:r>
        <w:lastRenderedPageBreak/>
        <w:t>2.2.2</w:t>
      </w:r>
      <w:r w:rsidR="0033454E" w:rsidRPr="009C75A1">
        <w:tab/>
      </w:r>
      <w:r w:rsidR="0033454E" w:rsidRPr="00B20711">
        <w:rPr>
          <w:i/>
        </w:rPr>
        <w:t>Streptomyces hygroscopicus</w:t>
      </w:r>
    </w:p>
    <w:p w14:paraId="344ECBDF" w14:textId="77777777" w:rsidR="0033454E" w:rsidRPr="009015EA" w:rsidRDefault="0033454E" w:rsidP="0033454E">
      <w:pPr>
        <w:rPr>
          <w:rFonts w:cs="Arial"/>
          <w:color w:val="000000" w:themeColor="text1"/>
          <w:szCs w:val="22"/>
        </w:rPr>
      </w:pPr>
      <w:r w:rsidRPr="009C75A1">
        <w:rPr>
          <w:rFonts w:cs="Arial"/>
          <w:color w:val="000000" w:themeColor="text1"/>
          <w:szCs w:val="22"/>
        </w:rPr>
        <w:t xml:space="preserve">The source of </w:t>
      </w:r>
      <w:r w:rsidRPr="00AC3F2B">
        <w:rPr>
          <w:rFonts w:cs="Arial"/>
          <w:color w:val="000000" w:themeColor="text1"/>
          <w:szCs w:val="22"/>
        </w:rPr>
        <w:t xml:space="preserve">the </w:t>
      </w:r>
      <w:r w:rsidRPr="00AC3F2B">
        <w:rPr>
          <w:rFonts w:cs="Arial"/>
          <w:i/>
          <w:iCs/>
          <w:color w:val="000000" w:themeColor="text1"/>
          <w:szCs w:val="22"/>
        </w:rPr>
        <w:t>bar</w:t>
      </w:r>
      <w:r w:rsidRPr="00AC3F2B">
        <w:rPr>
          <w:rFonts w:cs="Arial"/>
          <w:color w:val="000000" w:themeColor="text1"/>
          <w:szCs w:val="22"/>
        </w:rPr>
        <w:t xml:space="preserve"> (</w:t>
      </w:r>
      <w:r w:rsidRPr="00AC3F2B">
        <w:rPr>
          <w:rFonts w:cs="Arial"/>
          <w:i/>
          <w:color w:val="000000" w:themeColor="text1"/>
          <w:szCs w:val="22"/>
        </w:rPr>
        <w:t>bialaphos</w:t>
      </w:r>
      <w:r w:rsidRPr="009C75A1">
        <w:rPr>
          <w:rFonts w:cs="Arial"/>
          <w:i/>
          <w:color w:val="000000" w:themeColor="text1"/>
          <w:szCs w:val="22"/>
        </w:rPr>
        <w:t xml:space="preserve"> resistance</w:t>
      </w:r>
      <w:r w:rsidRPr="009C75A1">
        <w:rPr>
          <w:rFonts w:cs="Arial"/>
          <w:color w:val="000000" w:themeColor="text1"/>
          <w:szCs w:val="22"/>
        </w:rPr>
        <w:t xml:space="preserve">) gene is the bacterial species </w:t>
      </w:r>
      <w:r>
        <w:rPr>
          <w:rFonts w:cs="Arial"/>
          <w:i/>
          <w:iCs/>
          <w:color w:val="000000" w:themeColor="text1"/>
          <w:szCs w:val="22"/>
        </w:rPr>
        <w:t>S.</w:t>
      </w:r>
      <w:r w:rsidRPr="009C75A1">
        <w:rPr>
          <w:rFonts w:cs="Arial"/>
          <w:i/>
          <w:iCs/>
          <w:color w:val="000000" w:themeColor="text1"/>
          <w:szCs w:val="22"/>
        </w:rPr>
        <w:t xml:space="preserve"> hygroscopicus</w:t>
      </w:r>
      <w:r w:rsidRPr="009C75A1">
        <w:rPr>
          <w:rFonts w:cs="Arial"/>
          <w:color w:val="000000" w:themeColor="text1"/>
          <w:szCs w:val="22"/>
        </w:rPr>
        <w:t xml:space="preserve">, strain ATCC21705 </w:t>
      </w:r>
      <w:r>
        <w:rPr>
          <w:rFonts w:cs="Arial"/>
          <w:noProof/>
          <w:color w:val="000000" w:themeColor="text1"/>
          <w:szCs w:val="22"/>
        </w:rPr>
        <w:t>(Murakami et al. 1986)</w:t>
      </w:r>
      <w:r w:rsidRPr="009C75A1">
        <w:rPr>
          <w:rFonts w:cs="Arial"/>
          <w:color w:val="000000" w:themeColor="text1"/>
          <w:szCs w:val="22"/>
        </w:rPr>
        <w:t xml:space="preserve">. The </w:t>
      </w:r>
      <w:r w:rsidRPr="009C75A1">
        <w:rPr>
          <w:rFonts w:cs="Arial"/>
          <w:i/>
          <w:iCs/>
          <w:color w:val="000000" w:themeColor="text1"/>
          <w:szCs w:val="22"/>
        </w:rPr>
        <w:t>Streptomycetae</w:t>
      </w:r>
      <w:r w:rsidRPr="009C75A1">
        <w:rPr>
          <w:rFonts w:cs="Arial"/>
          <w:color w:val="000000" w:themeColor="text1"/>
          <w:szCs w:val="22"/>
        </w:rPr>
        <w:t xml:space="preserve"> bacteria were first described in the early 1900’s. These organisms are generally soil-borne, although they may also be isolated from </w:t>
      </w:r>
      <w:r w:rsidRPr="009015EA">
        <w:rPr>
          <w:rFonts w:cs="Arial"/>
          <w:color w:val="000000" w:themeColor="text1"/>
          <w:szCs w:val="22"/>
        </w:rPr>
        <w:t xml:space="preserve">water. They are not typically pathogenic to animals including humans, and few species have been shown to be phytopathogenic </w:t>
      </w:r>
      <w:r>
        <w:rPr>
          <w:rFonts w:cs="Arial"/>
          <w:noProof/>
          <w:color w:val="000000" w:themeColor="text1"/>
          <w:szCs w:val="22"/>
        </w:rPr>
        <w:t>(Kützner 1981; Bradbury 1986)</w:t>
      </w:r>
      <w:r>
        <w:rPr>
          <w:rFonts w:cs="Arial"/>
          <w:color w:val="000000" w:themeColor="text1"/>
          <w:szCs w:val="22"/>
        </w:rPr>
        <w:t>.</w:t>
      </w:r>
    </w:p>
    <w:p w14:paraId="4DF00AAB" w14:textId="77777777" w:rsidR="0033454E" w:rsidRPr="009015EA" w:rsidRDefault="0033454E" w:rsidP="0033454E">
      <w:pPr>
        <w:rPr>
          <w:rFonts w:cs="Arial"/>
          <w:color w:val="000000" w:themeColor="text1"/>
          <w:szCs w:val="22"/>
        </w:rPr>
      </w:pPr>
    </w:p>
    <w:p w14:paraId="0CD6281A" w14:textId="77777777" w:rsidR="0033454E" w:rsidRPr="009015EA" w:rsidRDefault="0033454E" w:rsidP="0033454E">
      <w:pPr>
        <w:rPr>
          <w:rFonts w:cs="Arial"/>
          <w:color w:val="000000" w:themeColor="text1"/>
          <w:szCs w:val="22"/>
        </w:rPr>
      </w:pPr>
      <w:r w:rsidRPr="009015EA">
        <w:rPr>
          <w:rFonts w:cs="Arial"/>
          <w:color w:val="000000" w:themeColor="text1"/>
          <w:szCs w:val="22"/>
        </w:rPr>
        <w:t>Although th</w:t>
      </w:r>
      <w:r>
        <w:rPr>
          <w:rFonts w:cs="Arial"/>
          <w:color w:val="000000" w:themeColor="text1"/>
          <w:szCs w:val="22"/>
        </w:rPr>
        <w:t>is</w:t>
      </w:r>
      <w:r w:rsidRPr="009015EA">
        <w:rPr>
          <w:rFonts w:cs="Arial"/>
          <w:color w:val="000000" w:themeColor="text1"/>
          <w:szCs w:val="22"/>
        </w:rPr>
        <w:t xml:space="preserve"> organism</w:t>
      </w:r>
      <w:r>
        <w:rPr>
          <w:rFonts w:cs="Arial"/>
          <w:color w:val="000000" w:themeColor="text1"/>
          <w:szCs w:val="22"/>
        </w:rPr>
        <w:t xml:space="preserve"> is</w:t>
      </w:r>
      <w:r w:rsidRPr="009015EA">
        <w:rPr>
          <w:rFonts w:cs="Arial"/>
          <w:color w:val="000000" w:themeColor="text1"/>
          <w:szCs w:val="22"/>
        </w:rPr>
        <w:t xml:space="preserve"> not used in the food industry</w:t>
      </w:r>
      <w:r>
        <w:rPr>
          <w:rFonts w:cs="Arial"/>
          <w:color w:val="000000" w:themeColor="text1"/>
          <w:szCs w:val="22"/>
        </w:rPr>
        <w:t xml:space="preserve"> directly</w:t>
      </w:r>
      <w:r w:rsidRPr="009015EA">
        <w:rPr>
          <w:rFonts w:cs="Arial"/>
          <w:color w:val="000000" w:themeColor="text1"/>
          <w:szCs w:val="22"/>
        </w:rPr>
        <w:t xml:space="preserve">, the </w:t>
      </w:r>
      <w:r w:rsidRPr="009015EA">
        <w:rPr>
          <w:rFonts w:cs="Arial"/>
          <w:i/>
          <w:iCs/>
          <w:color w:val="000000" w:themeColor="text1"/>
          <w:szCs w:val="22"/>
        </w:rPr>
        <w:t>bar</w:t>
      </w:r>
      <w:r w:rsidRPr="009015EA">
        <w:rPr>
          <w:rFonts w:cs="Arial"/>
          <w:color w:val="000000" w:themeColor="text1"/>
          <w:szCs w:val="22"/>
        </w:rPr>
        <w:t xml:space="preserve"> gene from </w:t>
      </w:r>
    </w:p>
    <w:p w14:paraId="0ECD2917" w14:textId="77777777" w:rsidR="0033454E" w:rsidRPr="004D11D8" w:rsidRDefault="0033454E" w:rsidP="0033454E">
      <w:pPr>
        <w:rPr>
          <w:rFonts w:cs="Arial"/>
          <w:color w:val="000000" w:themeColor="text1"/>
          <w:szCs w:val="22"/>
        </w:rPr>
      </w:pPr>
      <w:r w:rsidRPr="004D11D8">
        <w:rPr>
          <w:rFonts w:cs="Arial"/>
          <w:i/>
          <w:iCs/>
          <w:color w:val="000000" w:themeColor="text1"/>
          <w:szCs w:val="22"/>
        </w:rPr>
        <w:t>S. hygroscopicus</w:t>
      </w:r>
      <w:r w:rsidRPr="004D11D8">
        <w:rPr>
          <w:rFonts w:cs="Arial"/>
          <w:color w:val="000000" w:themeColor="text1"/>
          <w:szCs w:val="22"/>
        </w:rPr>
        <w:t xml:space="preserve"> has been used to confer glufosinate ammonium-tolerance in food producing crops over the past decade. The </w:t>
      </w:r>
      <w:r w:rsidRPr="004D11D8">
        <w:rPr>
          <w:rFonts w:cs="Arial"/>
          <w:i/>
          <w:color w:val="000000" w:themeColor="text1"/>
          <w:szCs w:val="22"/>
        </w:rPr>
        <w:t>pat</w:t>
      </w:r>
      <w:r w:rsidRPr="004D11D8">
        <w:rPr>
          <w:rFonts w:cs="Arial"/>
          <w:color w:val="000000" w:themeColor="text1"/>
          <w:szCs w:val="22"/>
        </w:rPr>
        <w:t xml:space="preserve"> gene from the closely related species </w:t>
      </w:r>
    </w:p>
    <w:p w14:paraId="6FAE214F" w14:textId="77777777" w:rsidR="0033454E" w:rsidRPr="004D11D8" w:rsidRDefault="0033454E" w:rsidP="0033454E">
      <w:pPr>
        <w:rPr>
          <w:rFonts w:cs="Arial"/>
          <w:color w:val="000000" w:themeColor="text1"/>
          <w:szCs w:val="22"/>
        </w:rPr>
      </w:pPr>
      <w:r w:rsidRPr="004D11D8">
        <w:rPr>
          <w:rFonts w:cs="Arial"/>
          <w:i/>
          <w:color w:val="000000" w:themeColor="text1"/>
          <w:szCs w:val="22"/>
        </w:rPr>
        <w:t xml:space="preserve">S. viridochromogenes </w:t>
      </w:r>
      <w:r w:rsidRPr="004D11D8">
        <w:rPr>
          <w:rFonts w:cs="Arial"/>
          <w:color w:val="000000" w:themeColor="text1"/>
          <w:szCs w:val="22"/>
        </w:rPr>
        <w:t xml:space="preserve">produces a protein that is structurally and functionally equivalent to the protein encoded by the </w:t>
      </w:r>
      <w:r w:rsidRPr="004D11D8">
        <w:rPr>
          <w:rFonts w:cs="Arial"/>
          <w:i/>
          <w:color w:val="000000" w:themeColor="text1"/>
          <w:szCs w:val="22"/>
        </w:rPr>
        <w:t>bar</w:t>
      </w:r>
      <w:r w:rsidRPr="004D11D8">
        <w:rPr>
          <w:rFonts w:cs="Arial"/>
          <w:color w:val="000000" w:themeColor="text1"/>
          <w:szCs w:val="22"/>
        </w:rPr>
        <w:t xml:space="preserve"> gene </w:t>
      </w:r>
      <w:r>
        <w:rPr>
          <w:rFonts w:cs="Arial"/>
          <w:noProof/>
          <w:color w:val="000000" w:themeColor="text1"/>
          <w:szCs w:val="22"/>
        </w:rPr>
        <w:t>(Wehrmann et al. 1996)</w:t>
      </w:r>
      <w:r w:rsidRPr="004D11D8">
        <w:rPr>
          <w:rFonts w:cs="Arial"/>
          <w:color w:val="000000" w:themeColor="text1"/>
          <w:szCs w:val="22"/>
        </w:rPr>
        <w:t>.</w:t>
      </w:r>
    </w:p>
    <w:p w14:paraId="0640B842" w14:textId="77777777" w:rsidR="0033454E" w:rsidRPr="004D11D8" w:rsidRDefault="0033454E" w:rsidP="0033454E">
      <w:pPr>
        <w:pStyle w:val="Heading3"/>
      </w:pPr>
      <w:r w:rsidRPr="004D11D8">
        <w:t>2.2.3</w:t>
      </w:r>
      <w:r w:rsidRPr="004D11D8">
        <w:tab/>
        <w:t>Other organisms</w:t>
      </w:r>
    </w:p>
    <w:p w14:paraId="7BE9664F" w14:textId="77777777" w:rsidR="0033454E" w:rsidRPr="004D11D8" w:rsidRDefault="0033454E" w:rsidP="0033454E">
      <w:pPr>
        <w:rPr>
          <w:rFonts w:cs="Arial"/>
          <w:color w:val="000000" w:themeColor="text1"/>
          <w:szCs w:val="22"/>
        </w:rPr>
      </w:pPr>
      <w:r w:rsidRPr="004D11D8">
        <w:rPr>
          <w:rFonts w:cs="Arial"/>
          <w:color w:val="000000" w:themeColor="text1"/>
          <w:szCs w:val="22"/>
        </w:rPr>
        <w:t>Genetic elements from three other organisms not mentioned above (</w:t>
      </w:r>
      <w:r>
        <w:rPr>
          <w:rFonts w:cs="Arial"/>
          <w:i/>
          <w:color w:val="000000" w:themeColor="text1"/>
          <w:szCs w:val="22"/>
        </w:rPr>
        <w:t>Ara</w:t>
      </w:r>
      <w:r w:rsidRPr="004D11D8">
        <w:rPr>
          <w:rFonts w:cs="Arial"/>
          <w:i/>
          <w:color w:val="000000" w:themeColor="text1"/>
          <w:szCs w:val="22"/>
        </w:rPr>
        <w:t xml:space="preserve">bidopsis thaliana, Nicotiana tabacum </w:t>
      </w:r>
      <w:r w:rsidRPr="004D11D8">
        <w:rPr>
          <w:rFonts w:cs="Arial"/>
          <w:color w:val="000000" w:themeColor="text1"/>
          <w:szCs w:val="22"/>
        </w:rPr>
        <w:t xml:space="preserve">(tobacco); and </w:t>
      </w:r>
      <w:r w:rsidRPr="004D11D8">
        <w:rPr>
          <w:rFonts w:cs="Arial"/>
          <w:i/>
          <w:color w:val="000000" w:themeColor="text1"/>
          <w:szCs w:val="22"/>
        </w:rPr>
        <w:t>Agrobacterium tumefaciens</w:t>
      </w:r>
      <w:r w:rsidRPr="004D11D8">
        <w:rPr>
          <w:rFonts w:cs="Arial"/>
          <w:color w:val="000000" w:themeColor="text1"/>
          <w:szCs w:val="22"/>
        </w:rPr>
        <w:t xml:space="preserve">) have been used in the genetic modification of MS11 (refer </w:t>
      </w:r>
      <w:r w:rsidRPr="009534F8">
        <w:rPr>
          <w:rFonts w:cs="Arial"/>
          <w:color w:val="000000" w:themeColor="text1"/>
          <w:szCs w:val="22"/>
        </w:rPr>
        <w:t>to Table 1). These</w:t>
      </w:r>
      <w:r w:rsidRPr="004D11D8">
        <w:rPr>
          <w:rFonts w:cs="Arial"/>
          <w:color w:val="000000" w:themeColor="text1"/>
          <w:szCs w:val="22"/>
        </w:rPr>
        <w:t xml:space="preserve"> sequences are used to drive or terminate expression of the novel genetic material. None of the sources of these genetic elements is associated with toxic or allergenic responses in humans. The genetic elements derived from the plant pathogen </w:t>
      </w:r>
      <w:r w:rsidRPr="004D11D8">
        <w:rPr>
          <w:rFonts w:cs="Arial"/>
          <w:i/>
          <w:color w:val="000000" w:themeColor="text1"/>
          <w:szCs w:val="22"/>
        </w:rPr>
        <w:t>A. tumefaciens</w:t>
      </w:r>
      <w:r w:rsidRPr="004D11D8">
        <w:rPr>
          <w:rFonts w:cs="Arial"/>
          <w:color w:val="000000" w:themeColor="text1"/>
          <w:szCs w:val="22"/>
        </w:rPr>
        <w:t xml:space="preserve"> are not pathogenic in themselves and do not cause pathogenic symptoms in MS11.</w:t>
      </w:r>
    </w:p>
    <w:p w14:paraId="4406D697" w14:textId="77777777" w:rsidR="0033454E" w:rsidRPr="004D11D8" w:rsidRDefault="0033454E" w:rsidP="0033454E">
      <w:pPr>
        <w:rPr>
          <w:color w:val="000000" w:themeColor="text1"/>
          <w:lang w:eastAsia="en-AU" w:bidi="ar-SA"/>
        </w:rPr>
      </w:pPr>
    </w:p>
    <w:p w14:paraId="55633C4A" w14:textId="77777777" w:rsidR="0033454E" w:rsidRPr="004D11D8" w:rsidRDefault="0033454E" w:rsidP="0033454E">
      <w:pPr>
        <w:pStyle w:val="Heading1"/>
        <w:ind w:left="720" w:hanging="720"/>
        <w:jc w:val="both"/>
        <w:rPr>
          <w:color w:val="000000" w:themeColor="text1"/>
          <w:szCs w:val="36"/>
        </w:rPr>
      </w:pPr>
      <w:bookmarkStart w:id="16" w:name="_Toc481491427"/>
      <w:r w:rsidRPr="004D11D8">
        <w:rPr>
          <w:color w:val="000000" w:themeColor="text1"/>
          <w:szCs w:val="36"/>
        </w:rPr>
        <w:t>3</w:t>
      </w:r>
      <w:r w:rsidRPr="004D11D8">
        <w:rPr>
          <w:color w:val="000000" w:themeColor="text1"/>
          <w:szCs w:val="36"/>
        </w:rPr>
        <w:tab/>
        <w:t>Molecular characterisation</w:t>
      </w:r>
      <w:bookmarkEnd w:id="16"/>
    </w:p>
    <w:p w14:paraId="5B0CD020" w14:textId="77777777" w:rsidR="0033454E" w:rsidRPr="004D11D8" w:rsidRDefault="0033454E" w:rsidP="0033454E">
      <w:pPr>
        <w:rPr>
          <w:color w:val="000000" w:themeColor="text1"/>
        </w:rPr>
      </w:pPr>
      <w:r w:rsidRPr="004D11D8">
        <w:rPr>
          <w:color w:val="000000" w:themeColor="text1"/>
        </w:rPr>
        <w:t>Molecular characterisation is necessary to provide an understanding of the genetic material introduced into the host genome and helps to frame the subsequent parts of the safety assessment. The molecular characterisation addresses three main aspects:</w:t>
      </w:r>
    </w:p>
    <w:p w14:paraId="15995563" w14:textId="77777777" w:rsidR="0033454E" w:rsidRPr="004D11D8" w:rsidRDefault="0033454E" w:rsidP="0033454E">
      <w:pPr>
        <w:rPr>
          <w:color w:val="000000" w:themeColor="text1"/>
        </w:rPr>
      </w:pPr>
    </w:p>
    <w:p w14:paraId="366D70CF" w14:textId="1497013A" w:rsidR="0033454E" w:rsidRDefault="0033454E" w:rsidP="0033454E">
      <w:pPr>
        <w:pStyle w:val="FSBullet1"/>
        <w:rPr>
          <w:color w:val="000000" w:themeColor="text1"/>
        </w:rPr>
      </w:pPr>
      <w:r w:rsidRPr="004D11D8">
        <w:rPr>
          <w:color w:val="000000" w:themeColor="text1"/>
        </w:rPr>
        <w:t xml:space="preserve">the transformation method together with a detailed description of </w:t>
      </w:r>
      <w:r w:rsidRPr="00AC3F2B">
        <w:rPr>
          <w:color w:val="000000" w:themeColor="text1"/>
        </w:rPr>
        <w:t>the DNA sequences</w:t>
      </w:r>
      <w:r w:rsidRPr="004D11D8">
        <w:rPr>
          <w:color w:val="000000" w:themeColor="text1"/>
        </w:rPr>
        <w:t xml:space="preserve"> introduced to the host genome </w:t>
      </w:r>
    </w:p>
    <w:p w14:paraId="0016CDB0" w14:textId="77777777" w:rsidR="00B20711" w:rsidRPr="00B20711" w:rsidRDefault="00B20711" w:rsidP="00B20711">
      <w:pPr>
        <w:rPr>
          <w:lang w:bidi="ar-SA"/>
        </w:rPr>
      </w:pPr>
    </w:p>
    <w:p w14:paraId="1F8D97BB" w14:textId="77EFCE69" w:rsidR="0033454E" w:rsidRDefault="0033454E" w:rsidP="0033454E">
      <w:pPr>
        <w:pStyle w:val="FSBullet1"/>
        <w:rPr>
          <w:color w:val="000000" w:themeColor="text1"/>
        </w:rPr>
      </w:pPr>
      <w:r w:rsidRPr="004D11D8">
        <w:rPr>
          <w:color w:val="000000" w:themeColor="text1"/>
        </w:rPr>
        <w:t>a characterisation of the inserted DNA including any rearrangements that may have occurred as a consequence of the transformation</w:t>
      </w:r>
    </w:p>
    <w:p w14:paraId="45CE8F93" w14:textId="77777777" w:rsidR="00B20711" w:rsidRPr="00B20711" w:rsidRDefault="00B20711" w:rsidP="00B20711">
      <w:pPr>
        <w:rPr>
          <w:lang w:bidi="ar-SA"/>
        </w:rPr>
      </w:pPr>
    </w:p>
    <w:p w14:paraId="1602B54E" w14:textId="77777777" w:rsidR="0033454E" w:rsidRPr="004D11D8" w:rsidRDefault="0033454E" w:rsidP="0033454E">
      <w:pPr>
        <w:pStyle w:val="FSBullet1"/>
        <w:rPr>
          <w:color w:val="000000" w:themeColor="text1"/>
        </w:rPr>
      </w:pPr>
      <w:r w:rsidRPr="004D11D8">
        <w:rPr>
          <w:color w:val="000000" w:themeColor="text1"/>
        </w:rPr>
        <w:t>the genetic stability of the inserted DNA and any accompanying expressed traits.</w:t>
      </w:r>
    </w:p>
    <w:p w14:paraId="00F2390C" w14:textId="77777777" w:rsidR="0033454E" w:rsidRPr="00350745" w:rsidRDefault="0033454E" w:rsidP="0033454E">
      <w:pPr>
        <w:rPr>
          <w:color w:val="000000" w:themeColor="text1"/>
        </w:rPr>
      </w:pPr>
    </w:p>
    <w:p w14:paraId="67832E50" w14:textId="77777777" w:rsidR="0033454E" w:rsidRPr="000E1F77"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r w:rsidRPr="000E1F77">
        <w:rPr>
          <w:rFonts w:cs="Arial"/>
          <w:b/>
          <w:color w:val="000000" w:themeColor="text1"/>
          <w:sz w:val="20"/>
          <w:szCs w:val="20"/>
        </w:rPr>
        <w:t>Studies submitted:</w:t>
      </w:r>
    </w:p>
    <w:p w14:paraId="2E94B2AB" w14:textId="77777777" w:rsidR="0033454E" w:rsidRPr="000E1F77"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p>
    <w:p w14:paraId="199715E0"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color w:val="000000" w:themeColor="text1"/>
          <w:sz w:val="20"/>
          <w:szCs w:val="20"/>
          <w:lang w:eastAsia="en-GB" w:bidi="ar-SA"/>
        </w:rPr>
        <w:t>2008</w:t>
      </w:r>
      <w:r w:rsidRPr="000E1F77">
        <w:rPr>
          <w:rFonts w:cs="Arial"/>
          <w:sz w:val="20"/>
          <w:szCs w:val="20"/>
          <w:lang w:eastAsia="en-GB" w:bidi="ar-SA"/>
        </w:rPr>
        <w:t>. Description of the MS11 transformation methodology. Unpublished Bayer Crop Science Report. Document no. M-307476-01-1.</w:t>
      </w:r>
    </w:p>
    <w:p w14:paraId="542EFE5A"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2015. Description of vector pTCO113. Unpublished Bayer Crop Science report. Document no. M-182728-04-1.</w:t>
      </w:r>
    </w:p>
    <w:p w14:paraId="29E0A394"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2016. Detailed insert characterization and confirmation of the absence of vector backbone sequence in Brassica napus MS11. Unpublished Bayer Crop Science Report. Document no. M-547543-01-1.</w:t>
      </w:r>
    </w:p>
    <w:p w14:paraId="29F03949"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i/>
          <w:iCs/>
          <w:sz w:val="20"/>
          <w:szCs w:val="20"/>
          <w:lang w:eastAsia="en-GB" w:bidi="ar-SA"/>
        </w:rPr>
      </w:pPr>
      <w:r w:rsidRPr="000E1F77">
        <w:rPr>
          <w:rFonts w:cs="Arial"/>
          <w:sz w:val="20"/>
          <w:szCs w:val="20"/>
          <w:lang w:eastAsia="en-GB" w:bidi="ar-SA"/>
        </w:rPr>
        <w:t xml:space="preserve">2008. Full DNA sequence of event insert and integration site of </w:t>
      </w:r>
      <w:r w:rsidRPr="000E1F77">
        <w:rPr>
          <w:rFonts w:cs="Arial"/>
          <w:i/>
          <w:iCs/>
          <w:sz w:val="20"/>
          <w:szCs w:val="20"/>
          <w:lang w:eastAsia="en-GB" w:bidi="ar-SA"/>
        </w:rPr>
        <w:t xml:space="preserve">Brassica napus </w:t>
      </w:r>
      <w:r w:rsidRPr="000E1F77">
        <w:rPr>
          <w:rFonts w:cs="Arial"/>
          <w:sz w:val="20"/>
          <w:szCs w:val="20"/>
          <w:lang w:eastAsia="en-GB" w:bidi="ar-SA"/>
        </w:rPr>
        <w:t>transformation event MS11. Unpublished Bayer Crop Science Report.</w:t>
      </w:r>
      <w:r w:rsidRPr="000E1F77">
        <w:rPr>
          <w:rFonts w:cs="Arial"/>
          <w:i/>
          <w:iCs/>
          <w:sz w:val="20"/>
          <w:szCs w:val="20"/>
          <w:lang w:eastAsia="en-GB" w:bidi="ar-SA"/>
        </w:rPr>
        <w:t xml:space="preserve"> </w:t>
      </w:r>
      <w:r w:rsidRPr="000E1F77">
        <w:rPr>
          <w:rFonts w:cs="Arial"/>
          <w:sz w:val="20"/>
          <w:szCs w:val="20"/>
          <w:lang w:eastAsia="en-GB" w:bidi="ar-SA"/>
        </w:rPr>
        <w:t>Document no. M-304805-01-1.</w:t>
      </w:r>
    </w:p>
    <w:p w14:paraId="7FD27B29"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2016. Determination of additional flanking sequences and the corresponding insertion locus in </w:t>
      </w:r>
      <w:r w:rsidRPr="000E1F77">
        <w:rPr>
          <w:rFonts w:cs="Arial"/>
          <w:i/>
          <w:iCs/>
          <w:sz w:val="20"/>
          <w:szCs w:val="20"/>
          <w:lang w:eastAsia="en-GB" w:bidi="ar-SA"/>
        </w:rPr>
        <w:t xml:space="preserve">Brassica napus </w:t>
      </w:r>
      <w:r w:rsidRPr="000E1F77">
        <w:rPr>
          <w:rFonts w:cs="Arial"/>
          <w:sz w:val="20"/>
          <w:szCs w:val="20"/>
          <w:lang w:eastAsia="en-GB" w:bidi="ar-SA"/>
        </w:rPr>
        <w:t>MS11. Unpublished Bayer Crop Science Report. Document no. M-545355-01-1.</w:t>
      </w:r>
    </w:p>
    <w:p w14:paraId="48CBC556"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2016. MS11 </w:t>
      </w:r>
      <w:r w:rsidRPr="000E1F77">
        <w:rPr>
          <w:rFonts w:cs="Arial"/>
          <w:i/>
          <w:iCs/>
          <w:sz w:val="20"/>
          <w:szCs w:val="20"/>
          <w:lang w:eastAsia="en-GB" w:bidi="ar-SA"/>
        </w:rPr>
        <w:t xml:space="preserve">Brassica napus </w:t>
      </w:r>
      <w:r w:rsidRPr="000E1F77">
        <w:rPr>
          <w:rFonts w:cs="Arial"/>
          <w:sz w:val="20"/>
          <w:szCs w:val="20"/>
          <w:lang w:eastAsia="en-GB" w:bidi="ar-SA"/>
        </w:rPr>
        <w:t>- Identification of open reading frames (ORF) and homology search of sequences of more than 30 amino acids to known allergens and toxins. Unpublished Bayer Crop Science Report. Document no. M- 552421-01-1.</w:t>
      </w:r>
    </w:p>
    <w:p w14:paraId="4C5E4E3B"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2016. Bioinformatics analysis of MS11 </w:t>
      </w:r>
      <w:r w:rsidRPr="000E1F77">
        <w:rPr>
          <w:rFonts w:cs="Arial"/>
          <w:i/>
          <w:iCs/>
          <w:sz w:val="20"/>
          <w:szCs w:val="20"/>
          <w:lang w:eastAsia="en-GB" w:bidi="ar-SA"/>
        </w:rPr>
        <w:t xml:space="preserve">Brassica napus </w:t>
      </w:r>
      <w:r w:rsidRPr="000E1F77">
        <w:rPr>
          <w:rFonts w:cs="Arial"/>
          <w:sz w:val="20"/>
          <w:szCs w:val="20"/>
          <w:lang w:eastAsia="en-GB" w:bidi="ar-SA"/>
        </w:rPr>
        <w:t>insertion locus. Unpublished Bayer Crop Science Report. Document no. M-307568-02-1.</w:t>
      </w:r>
    </w:p>
    <w:p w14:paraId="58EC0D0A"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lastRenderedPageBreak/>
        <w:t xml:space="preserve">2016. Structural stability analysis of </w:t>
      </w:r>
      <w:r w:rsidRPr="000E1F77">
        <w:rPr>
          <w:rFonts w:cs="Arial"/>
          <w:i/>
          <w:iCs/>
          <w:sz w:val="20"/>
          <w:szCs w:val="20"/>
          <w:lang w:eastAsia="en-GB" w:bidi="ar-SA"/>
        </w:rPr>
        <w:t xml:space="preserve">Brassica napus </w:t>
      </w:r>
      <w:r w:rsidRPr="000E1F77">
        <w:rPr>
          <w:rFonts w:cs="Arial"/>
          <w:sz w:val="20"/>
          <w:szCs w:val="20"/>
          <w:lang w:eastAsia="en-GB" w:bidi="ar-SA"/>
        </w:rPr>
        <w:t>MS11. Unpublished Bayer Crop Science Report. Document no. M-547544-01-1.</w:t>
      </w:r>
    </w:p>
    <w:p w14:paraId="72BD3024" w14:textId="77777777" w:rsidR="0033454E" w:rsidRPr="000E1F7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0E1F77">
        <w:rPr>
          <w:rFonts w:cs="Arial"/>
          <w:sz w:val="20"/>
          <w:szCs w:val="20"/>
          <w:lang w:eastAsia="en-GB" w:bidi="ar-SA"/>
        </w:rPr>
        <w:t xml:space="preserve">2016. MS11 </w:t>
      </w:r>
      <w:r w:rsidRPr="000E1F77">
        <w:rPr>
          <w:rFonts w:cs="Arial"/>
          <w:i/>
          <w:iCs/>
          <w:sz w:val="20"/>
          <w:szCs w:val="20"/>
          <w:lang w:eastAsia="en-GB" w:bidi="ar-SA"/>
        </w:rPr>
        <w:t xml:space="preserve">Brassica napus </w:t>
      </w:r>
      <w:r w:rsidRPr="000E1F77">
        <w:rPr>
          <w:rFonts w:cs="Arial"/>
          <w:sz w:val="20"/>
          <w:szCs w:val="20"/>
          <w:lang w:eastAsia="en-GB" w:bidi="ar-SA"/>
        </w:rPr>
        <w:t>- Inheritance of the insert over generations. Unpublished Bayer Crop Science report. Document no. M-545765-01-2.</w:t>
      </w:r>
    </w:p>
    <w:p w14:paraId="5EECCA6A" w14:textId="34E30A08" w:rsidR="0033454E" w:rsidRPr="00FB2F8E" w:rsidRDefault="0093373F" w:rsidP="0033454E">
      <w:pPr>
        <w:pStyle w:val="Heading2"/>
        <w:rPr>
          <w:color w:val="000000" w:themeColor="text1"/>
        </w:rPr>
      </w:pPr>
      <w:bookmarkStart w:id="17" w:name="_Toc481491428"/>
      <w:r>
        <w:rPr>
          <w:color w:val="000000" w:themeColor="text1"/>
        </w:rPr>
        <w:t>3.1</w:t>
      </w:r>
      <w:r w:rsidR="0033454E" w:rsidRPr="00FB2F8E">
        <w:rPr>
          <w:color w:val="000000" w:themeColor="text1"/>
        </w:rPr>
        <w:tab/>
        <w:t>Method used in the genetic modification</w:t>
      </w:r>
      <w:bookmarkEnd w:id="17"/>
    </w:p>
    <w:p w14:paraId="3D1E2F95" w14:textId="77777777" w:rsidR="0033454E" w:rsidRDefault="0033454E" w:rsidP="0033454E">
      <w:pPr>
        <w:widowControl/>
        <w:autoSpaceDE w:val="0"/>
        <w:autoSpaceDN w:val="0"/>
        <w:adjustRightInd w:val="0"/>
        <w:rPr>
          <w:color w:val="000000" w:themeColor="text1"/>
        </w:rPr>
      </w:pPr>
      <w:r w:rsidRPr="004B6F5C">
        <w:rPr>
          <w:color w:val="000000" w:themeColor="text1"/>
        </w:rPr>
        <w:t xml:space="preserve">The </w:t>
      </w:r>
      <w:r>
        <w:rPr>
          <w:color w:val="000000" w:themeColor="text1"/>
        </w:rPr>
        <w:t xml:space="preserve">transformation </w:t>
      </w:r>
      <w:r w:rsidRPr="004B6F5C">
        <w:rPr>
          <w:color w:val="000000" w:themeColor="text1"/>
        </w:rPr>
        <w:t xml:space="preserve">method was based on that </w:t>
      </w:r>
      <w:r w:rsidRPr="00C40A83">
        <w:rPr>
          <w:color w:val="000000" w:themeColor="text1"/>
        </w:rPr>
        <w:t xml:space="preserve">of </w:t>
      </w:r>
      <w:r>
        <w:rPr>
          <w:color w:val="000000" w:themeColor="text1"/>
        </w:rPr>
        <w:t xml:space="preserve">De Block et al. </w:t>
      </w:r>
      <w:r>
        <w:rPr>
          <w:noProof/>
          <w:color w:val="000000" w:themeColor="text1"/>
        </w:rPr>
        <w:t>(1989)</w:t>
      </w:r>
      <w:r w:rsidRPr="0064180B">
        <w:rPr>
          <w:color w:val="000000" w:themeColor="text1"/>
        </w:rPr>
        <w:t xml:space="preserve">. Embryogenic calli, initiated from hypocotyl segments of variety N90-740 seedlings germinated </w:t>
      </w:r>
      <w:r w:rsidRPr="0064180B">
        <w:rPr>
          <w:i/>
          <w:color w:val="000000" w:themeColor="text1"/>
        </w:rPr>
        <w:t>in vitro</w:t>
      </w:r>
      <w:r w:rsidRPr="0064180B">
        <w:rPr>
          <w:color w:val="000000" w:themeColor="text1"/>
        </w:rPr>
        <w:t xml:space="preserve">, were co-cultured with disarmed </w:t>
      </w:r>
      <w:r>
        <w:rPr>
          <w:i/>
          <w:color w:val="000000" w:themeColor="text1"/>
        </w:rPr>
        <w:t>A.</w:t>
      </w:r>
      <w:r w:rsidRPr="0064180B">
        <w:rPr>
          <w:i/>
          <w:color w:val="000000" w:themeColor="text1"/>
        </w:rPr>
        <w:t xml:space="preserve"> tumefaciens</w:t>
      </w:r>
      <w:r w:rsidRPr="0064180B">
        <w:rPr>
          <w:color w:val="000000" w:themeColor="text1"/>
        </w:rPr>
        <w:t xml:space="preserve"> strain C58C1</w:t>
      </w:r>
      <w:r w:rsidRPr="0064180B">
        <w:rPr>
          <w:color w:val="000000" w:themeColor="text1"/>
          <w:vertAlign w:val="superscript"/>
        </w:rPr>
        <w:t>rif</w:t>
      </w:r>
      <w:r w:rsidRPr="0064180B">
        <w:rPr>
          <w:color w:val="000000" w:themeColor="text1"/>
        </w:rPr>
        <w:t xml:space="preserve"> </w:t>
      </w:r>
      <w:r>
        <w:rPr>
          <w:noProof/>
          <w:color w:val="000000" w:themeColor="text1"/>
        </w:rPr>
        <w:t>(Van Larebeke et al. 1974)</w:t>
      </w:r>
      <w:r w:rsidRPr="004B6F5C">
        <w:rPr>
          <w:color w:val="000000" w:themeColor="text1"/>
        </w:rPr>
        <w:t xml:space="preserve"> harbouring a binary vector system </w:t>
      </w:r>
      <w:r>
        <w:rPr>
          <w:noProof/>
          <w:color w:val="000000" w:themeColor="text1"/>
        </w:rPr>
        <w:t>(Deblaere et al. 1987)</w:t>
      </w:r>
      <w:r w:rsidRPr="004B6F5C">
        <w:rPr>
          <w:color w:val="000000" w:themeColor="text1"/>
        </w:rPr>
        <w:t xml:space="preserve">. The cloning vector, plasmid </w:t>
      </w:r>
      <w:r w:rsidRPr="009534F8">
        <w:rPr>
          <w:color w:val="000000" w:themeColor="text1"/>
        </w:rPr>
        <w:t>pTCO113 (Figure 1), contained the three genes of interest between right border (RB) and left border (LB) T-</w:t>
      </w:r>
      <w:r w:rsidRPr="00AC3F2B">
        <w:rPr>
          <w:color w:val="000000" w:themeColor="text1"/>
        </w:rPr>
        <w:t xml:space="preserve">DNA sequences. </w:t>
      </w:r>
    </w:p>
    <w:p w14:paraId="4A143042" w14:textId="77777777" w:rsidR="0033454E" w:rsidRDefault="0033454E" w:rsidP="0033454E">
      <w:pPr>
        <w:widowControl/>
        <w:autoSpaceDE w:val="0"/>
        <w:autoSpaceDN w:val="0"/>
        <w:adjustRightInd w:val="0"/>
        <w:rPr>
          <w:color w:val="000000" w:themeColor="text1"/>
        </w:rPr>
      </w:pPr>
    </w:p>
    <w:p w14:paraId="038C389C" w14:textId="77777777" w:rsidR="0033454E" w:rsidRPr="00AB0610" w:rsidRDefault="0033454E" w:rsidP="0033454E">
      <w:pPr>
        <w:widowControl/>
        <w:autoSpaceDE w:val="0"/>
        <w:autoSpaceDN w:val="0"/>
        <w:adjustRightInd w:val="0"/>
        <w:rPr>
          <w:color w:val="000000" w:themeColor="text1"/>
        </w:rPr>
      </w:pPr>
      <w:r w:rsidRPr="00AB0610">
        <w:rPr>
          <w:rFonts w:cs="Arial"/>
          <w:color w:val="000000" w:themeColor="text1"/>
          <w:szCs w:val="22"/>
          <w:lang w:eastAsia="en-GB" w:bidi="ar-SA"/>
        </w:rPr>
        <w:t xml:space="preserve">Following co-culture, the calli were then grown on medium containing carbenicillin, to inhibit the growth of excess </w:t>
      </w:r>
      <w:r w:rsidRPr="00AB0610">
        <w:rPr>
          <w:rFonts w:cs="Arial"/>
          <w:i/>
          <w:color w:val="000000" w:themeColor="text1"/>
          <w:szCs w:val="22"/>
          <w:lang w:eastAsia="en-GB" w:bidi="ar-SA"/>
        </w:rPr>
        <w:t>Agrobacterium</w:t>
      </w:r>
      <w:r w:rsidRPr="00AB0610">
        <w:rPr>
          <w:rFonts w:cs="Arial"/>
          <w:color w:val="000000" w:themeColor="text1"/>
          <w:szCs w:val="22"/>
          <w:lang w:eastAsia="en-GB" w:bidi="ar-SA"/>
        </w:rPr>
        <w:t>, and later transferred to a shoot induction medium containing glufosinate for selection of putative transformants. Healthy shoots were transferred to rooting medium and rooted shoots were transferred to soil in a glasshouse facility. MS11 was ultimately chosen as the lead event based on superior agronomic, phenotypic and molecular characteristics.</w:t>
      </w:r>
    </w:p>
    <w:p w14:paraId="356469FA" w14:textId="77777777" w:rsidR="0033454E" w:rsidRPr="00AB0610" w:rsidRDefault="0033454E" w:rsidP="0033454E">
      <w:pPr>
        <w:rPr>
          <w:rFonts w:cs="Arial"/>
          <w:color w:val="000000" w:themeColor="text1"/>
        </w:rPr>
      </w:pPr>
    </w:p>
    <w:p w14:paraId="6842633A" w14:textId="77777777" w:rsidR="0033454E" w:rsidRDefault="0033454E" w:rsidP="0033454E">
      <w:pPr>
        <w:keepNext/>
        <w:jc w:val="center"/>
      </w:pPr>
      <w:r>
        <w:rPr>
          <w:noProof/>
          <w:color w:val="FF0000"/>
          <w:lang w:eastAsia="en-GB" w:bidi="ar-SA"/>
        </w:rPr>
        <w:drawing>
          <wp:inline distT="0" distB="0" distL="0" distR="0" wp14:anchorId="2C79B32F" wp14:editId="53DBEEAF">
            <wp:extent cx="3143082" cy="256222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5555" cy="2564241"/>
                    </a:xfrm>
                    <a:prstGeom prst="rect">
                      <a:avLst/>
                    </a:prstGeom>
                    <a:noFill/>
                    <a:ln>
                      <a:noFill/>
                    </a:ln>
                  </pic:spPr>
                </pic:pic>
              </a:graphicData>
            </a:graphic>
          </wp:inline>
        </w:drawing>
      </w:r>
    </w:p>
    <w:p w14:paraId="614DF276" w14:textId="018E2CEF" w:rsidR="0033454E" w:rsidRPr="00AD4317" w:rsidRDefault="0033454E" w:rsidP="00AD4317">
      <w:pPr>
        <w:jc w:val="center"/>
        <w:rPr>
          <w:i/>
        </w:rPr>
      </w:pPr>
      <w:bookmarkStart w:id="18" w:name="_Toc480537708"/>
      <w:r w:rsidRPr="00AD4317">
        <w:rPr>
          <w:rFonts w:cs="Arial"/>
          <w:i/>
        </w:rPr>
        <w:t xml:space="preserve">Figure </w:t>
      </w:r>
      <w:r w:rsidRPr="00AD4317">
        <w:rPr>
          <w:rFonts w:cs="Arial"/>
          <w:i/>
        </w:rPr>
        <w:fldChar w:fldCharType="begin"/>
      </w:r>
      <w:r w:rsidRPr="00AD4317">
        <w:rPr>
          <w:rFonts w:cs="Arial"/>
          <w:i/>
        </w:rPr>
        <w:instrText xml:space="preserve"> SEQ Figure \* ARABIC </w:instrText>
      </w:r>
      <w:r w:rsidRPr="00AD4317">
        <w:rPr>
          <w:rFonts w:cs="Arial"/>
          <w:i/>
        </w:rPr>
        <w:fldChar w:fldCharType="separate"/>
      </w:r>
      <w:r w:rsidR="007D76F3" w:rsidRPr="00AD4317">
        <w:rPr>
          <w:rFonts w:cs="Arial"/>
          <w:i/>
          <w:noProof/>
        </w:rPr>
        <w:t>1</w:t>
      </w:r>
      <w:r w:rsidRPr="00AD4317">
        <w:rPr>
          <w:rFonts w:cs="Arial"/>
          <w:i/>
        </w:rPr>
        <w:fldChar w:fldCharType="end"/>
      </w:r>
      <w:r w:rsidRPr="00AD4317">
        <w:rPr>
          <w:rFonts w:cs="Arial"/>
          <w:i/>
        </w:rPr>
        <w:t>: Genes and regulatory elements contained in plasmid pTCO113</w:t>
      </w:r>
      <w:bookmarkEnd w:id="18"/>
    </w:p>
    <w:p w14:paraId="065B7E06" w14:textId="36A30351" w:rsidR="0033454E" w:rsidRPr="008C7E24" w:rsidRDefault="0093373F" w:rsidP="0033454E">
      <w:pPr>
        <w:pStyle w:val="Heading2"/>
        <w:rPr>
          <w:color w:val="000000" w:themeColor="text1"/>
        </w:rPr>
      </w:pPr>
      <w:bookmarkStart w:id="19" w:name="_Toc481491429"/>
      <w:r>
        <w:rPr>
          <w:color w:val="000000" w:themeColor="text1"/>
        </w:rPr>
        <w:t>3.2</w:t>
      </w:r>
      <w:r w:rsidR="0033454E" w:rsidRPr="008C7E24">
        <w:rPr>
          <w:color w:val="000000" w:themeColor="text1"/>
        </w:rPr>
        <w:tab/>
        <w:t>Function and regulation of introduced gene fragments</w:t>
      </w:r>
      <w:bookmarkEnd w:id="19"/>
    </w:p>
    <w:p w14:paraId="7EFE67E5" w14:textId="77777777" w:rsidR="0033454E" w:rsidRDefault="0033454E" w:rsidP="0033454E">
      <w:pPr>
        <w:rPr>
          <w:color w:val="000000" w:themeColor="text1"/>
        </w:rPr>
      </w:pPr>
      <w:r w:rsidRPr="008C7E24">
        <w:rPr>
          <w:color w:val="000000" w:themeColor="text1"/>
        </w:rPr>
        <w:t xml:space="preserve">Information on the genetic elements in the T-DNA used for transformation is summarised in </w:t>
      </w:r>
      <w:r w:rsidRPr="009534F8">
        <w:rPr>
          <w:color w:val="000000" w:themeColor="text1"/>
        </w:rPr>
        <w:t>Table 1. The complete plasmid is 13,540 bp comprising 7,675 bp vector backbone and 5,865 bp T-DNA (Figure 1). The T-DNA (Figure 2) comprises</w:t>
      </w:r>
      <w:r w:rsidRPr="008C7E24">
        <w:rPr>
          <w:color w:val="000000" w:themeColor="text1"/>
        </w:rPr>
        <w:t xml:space="preserve"> three cassettes located between a 25 bp </w:t>
      </w:r>
      <w:r>
        <w:rPr>
          <w:color w:val="000000" w:themeColor="text1"/>
        </w:rPr>
        <w:t>LB</w:t>
      </w:r>
      <w:r w:rsidRPr="005C6FB7">
        <w:rPr>
          <w:color w:val="000000" w:themeColor="text1"/>
        </w:rPr>
        <w:t xml:space="preserve"> and </w:t>
      </w:r>
      <w:r>
        <w:rPr>
          <w:color w:val="000000" w:themeColor="text1"/>
        </w:rPr>
        <w:t>25 bp RB</w:t>
      </w:r>
      <w:r w:rsidRPr="005C6FB7">
        <w:rPr>
          <w:color w:val="000000" w:themeColor="text1"/>
        </w:rPr>
        <w:t>. Intervening sequences, where present, have assisted with the cloning of the various components of each cassette.</w:t>
      </w:r>
    </w:p>
    <w:p w14:paraId="089994E9" w14:textId="77777777" w:rsidR="0033454E" w:rsidRPr="005C6FB7" w:rsidRDefault="0033454E" w:rsidP="0033454E">
      <w:pPr>
        <w:rPr>
          <w:color w:val="000000" w:themeColor="text1"/>
        </w:rPr>
      </w:pPr>
    </w:p>
    <w:p w14:paraId="06F26F76" w14:textId="77777777" w:rsidR="0033454E" w:rsidRDefault="0033454E" w:rsidP="0033454E">
      <w:pPr>
        <w:pStyle w:val="FSFigureTitle"/>
        <w:keepNext/>
        <w:jc w:val="center"/>
        <w:rPr>
          <w:color w:val="000000" w:themeColor="text1"/>
        </w:rPr>
      </w:pPr>
      <w:r>
        <w:rPr>
          <w:noProof/>
          <w:color w:val="000000" w:themeColor="text1"/>
          <w:lang w:eastAsia="en-GB" w:bidi="ar-SA"/>
        </w:rPr>
        <w:drawing>
          <wp:inline distT="0" distB="0" distL="0" distR="0" wp14:anchorId="37609CE5" wp14:editId="106FD78F">
            <wp:extent cx="5753100" cy="752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752475"/>
                    </a:xfrm>
                    <a:prstGeom prst="rect">
                      <a:avLst/>
                    </a:prstGeom>
                    <a:noFill/>
                    <a:ln>
                      <a:noFill/>
                    </a:ln>
                  </pic:spPr>
                </pic:pic>
              </a:graphicData>
            </a:graphic>
          </wp:inline>
        </w:drawing>
      </w:r>
    </w:p>
    <w:p w14:paraId="1DAAB9EA" w14:textId="77777777" w:rsidR="0033454E" w:rsidRPr="005C6FB7" w:rsidRDefault="0033454E" w:rsidP="0033454E"/>
    <w:p w14:paraId="28E6A2B0" w14:textId="33B61E32" w:rsidR="0033454E" w:rsidRDefault="0033454E" w:rsidP="0093373F">
      <w:pPr>
        <w:pStyle w:val="FSFigureTitle"/>
        <w:jc w:val="center"/>
        <w:rPr>
          <w:rFonts w:ascii="Arial Bold" w:hAnsi="Arial Bold"/>
          <w:b/>
          <w:color w:val="000000" w:themeColor="text1"/>
          <w:szCs w:val="22"/>
        </w:rPr>
      </w:pPr>
      <w:bookmarkStart w:id="20" w:name="_Toc480537709"/>
      <w:r w:rsidRPr="00012EF3">
        <w:t xml:space="preserve">Figure </w:t>
      </w:r>
      <w:r w:rsidRPr="00012EF3">
        <w:fldChar w:fldCharType="begin"/>
      </w:r>
      <w:r w:rsidRPr="00012EF3">
        <w:instrText xml:space="preserve"> SEQ Figure \* ARABIC </w:instrText>
      </w:r>
      <w:r w:rsidRPr="00012EF3">
        <w:fldChar w:fldCharType="separate"/>
      </w:r>
      <w:r w:rsidR="007D76F3" w:rsidRPr="00012EF3">
        <w:rPr>
          <w:noProof/>
        </w:rPr>
        <w:t>2</w:t>
      </w:r>
      <w:r w:rsidRPr="00012EF3">
        <w:rPr>
          <w:noProof/>
        </w:rPr>
        <w:fldChar w:fldCharType="end"/>
      </w:r>
      <w:r w:rsidRPr="00012EF3">
        <w:t>: Design of pTCO113 T-DNA region</w:t>
      </w:r>
      <w:r w:rsidR="00A342A6" w:rsidRPr="00012EF3">
        <w:t xml:space="preserve"> (showing restriction sites and genetic elements detailed in Table 1)</w:t>
      </w:r>
      <w:bookmarkEnd w:id="20"/>
      <w:r>
        <w:rPr>
          <w:color w:val="000000" w:themeColor="text1"/>
          <w:szCs w:val="22"/>
        </w:rPr>
        <w:br w:type="page"/>
      </w:r>
    </w:p>
    <w:p w14:paraId="32FC1520" w14:textId="77777777" w:rsidR="0033454E" w:rsidRPr="00C63B93" w:rsidRDefault="0033454E" w:rsidP="00AD4317">
      <w:bookmarkStart w:id="21" w:name="_Toc481574636"/>
      <w:r w:rsidRPr="00AD4317">
        <w:rPr>
          <w:b/>
        </w:rPr>
        <w:lastRenderedPageBreak/>
        <w:t xml:space="preserve">Table </w:t>
      </w:r>
      <w:r w:rsidRPr="00AD4317">
        <w:rPr>
          <w:b/>
        </w:rPr>
        <w:fldChar w:fldCharType="begin"/>
      </w:r>
      <w:r w:rsidRPr="00AD4317">
        <w:rPr>
          <w:b/>
        </w:rPr>
        <w:instrText xml:space="preserve"> SEQ Table \* ARABIC </w:instrText>
      </w:r>
      <w:r w:rsidRPr="00AD4317">
        <w:rPr>
          <w:b/>
        </w:rPr>
        <w:fldChar w:fldCharType="separate"/>
      </w:r>
      <w:r w:rsidR="007D76F3" w:rsidRPr="00AD4317">
        <w:rPr>
          <w:b/>
          <w:noProof/>
        </w:rPr>
        <w:t>1</w:t>
      </w:r>
      <w:r w:rsidRPr="00AD4317">
        <w:rPr>
          <w:b/>
        </w:rPr>
        <w:fldChar w:fldCharType="end"/>
      </w:r>
      <w:r w:rsidRPr="00AD4317">
        <w:rPr>
          <w:b/>
        </w:rPr>
        <w:t>: Description of the genetic elements contained in the T-DNA of pTCO113</w:t>
      </w:r>
      <w:bookmarkEnd w:id="21"/>
    </w:p>
    <w:p w14:paraId="0BC348A4" w14:textId="77777777" w:rsidR="0033454E" w:rsidRPr="0011077F" w:rsidRDefault="0033454E" w:rsidP="0033454E">
      <w:pPr>
        <w:pStyle w:val="FSTableHeading"/>
        <w:jc w:val="left"/>
        <w:rPr>
          <w:color w:val="000000" w:themeColor="text1"/>
          <w:sz w:val="22"/>
          <w:szCs w:val="22"/>
        </w:rPr>
      </w:pPr>
    </w:p>
    <w:tbl>
      <w:tblPr>
        <w:tblW w:w="9322" w:type="dxa"/>
        <w:tblLayout w:type="fixed"/>
        <w:tblLook w:val="0000" w:firstRow="0" w:lastRow="0" w:firstColumn="0" w:lastColumn="0" w:noHBand="0" w:noVBand="0"/>
      </w:tblPr>
      <w:tblGrid>
        <w:gridCol w:w="1242"/>
        <w:gridCol w:w="1276"/>
        <w:gridCol w:w="709"/>
        <w:gridCol w:w="1559"/>
        <w:gridCol w:w="992"/>
        <w:gridCol w:w="2410"/>
        <w:gridCol w:w="1134"/>
      </w:tblGrid>
      <w:tr w:rsidR="0033454E" w:rsidRPr="001B5342" w14:paraId="42338567" w14:textId="77777777" w:rsidTr="0033454E">
        <w:trPr>
          <w:tblHeader/>
        </w:trPr>
        <w:tc>
          <w:tcPr>
            <w:tcW w:w="1242"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DC67126"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Genetic element</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0EFBA24"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Relative bp location on plasmid</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7C4A9CE"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Size (bp)</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EB31C8D"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Source</w:t>
            </w:r>
          </w:p>
        </w:tc>
        <w:tc>
          <w:tcPr>
            <w:tcW w:w="992"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85B2975"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Orient.</w:t>
            </w:r>
          </w:p>
        </w:tc>
        <w:tc>
          <w:tcPr>
            <w:tcW w:w="241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C525E58"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Description &amp;Function</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EFA44F0" w14:textId="77777777" w:rsidR="0033454E" w:rsidRPr="005C6FB7" w:rsidRDefault="0033454E" w:rsidP="0033454E">
            <w:pPr>
              <w:widowControl/>
              <w:spacing w:after="120"/>
              <w:jc w:val="center"/>
              <w:rPr>
                <w:rFonts w:eastAsia="Batang" w:cs="Arial"/>
                <w:b/>
                <w:bCs/>
                <w:iCs/>
                <w:color w:val="FFFFFF" w:themeColor="background1"/>
                <w:sz w:val="16"/>
                <w:szCs w:val="16"/>
                <w:lang w:val="en-AU" w:bidi="ar-SA"/>
              </w:rPr>
            </w:pPr>
            <w:r w:rsidRPr="005C6FB7">
              <w:rPr>
                <w:rFonts w:eastAsia="Batang" w:cs="Arial"/>
                <w:b/>
                <w:bCs/>
                <w:iCs/>
                <w:color w:val="FFFFFF" w:themeColor="background1"/>
                <w:sz w:val="16"/>
                <w:szCs w:val="16"/>
                <w:lang w:val="en-AU" w:bidi="ar-SA"/>
              </w:rPr>
              <w:t>Reference</w:t>
            </w:r>
          </w:p>
        </w:tc>
      </w:tr>
      <w:tr w:rsidR="0033454E" w:rsidRPr="001B5342" w14:paraId="1AEED2D2" w14:textId="77777777" w:rsidTr="0033454E">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D918E91" w14:textId="77777777" w:rsidR="0033454E" w:rsidRPr="005C6FB7" w:rsidRDefault="0033454E" w:rsidP="0033454E">
            <w:pPr>
              <w:widowControl/>
              <w:rPr>
                <w:rFonts w:eastAsia="Batang" w:cs="Arial"/>
                <w:iCs/>
                <w:color w:val="000000" w:themeColor="text1"/>
                <w:sz w:val="16"/>
                <w:szCs w:val="16"/>
                <w:lang w:val="en-AU" w:bidi="ar-SA"/>
              </w:rPr>
            </w:pPr>
            <w:r w:rsidRPr="005C6FB7">
              <w:rPr>
                <w:rFonts w:eastAsia="Batang" w:cs="Arial"/>
                <w:iCs/>
                <w:color w:val="000000" w:themeColor="text1"/>
                <w:sz w:val="16"/>
                <w:szCs w:val="16"/>
                <w:lang w:val="en-AU" w:bidi="ar-SA"/>
              </w:rPr>
              <w:t>Right Border</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4173BD2" w14:textId="77777777" w:rsidR="0033454E" w:rsidRPr="005C6FB7" w:rsidRDefault="0033454E" w:rsidP="0033454E">
            <w:pPr>
              <w:widowControl/>
              <w:jc w:val="center"/>
              <w:rPr>
                <w:rFonts w:eastAsia="Batang" w:cs="Arial"/>
                <w:iCs/>
                <w:color w:val="000000" w:themeColor="text1"/>
                <w:sz w:val="16"/>
                <w:szCs w:val="16"/>
                <w:lang w:val="en-AU" w:bidi="ar-SA"/>
              </w:rPr>
            </w:pPr>
            <w:r w:rsidRPr="005C6FB7">
              <w:rPr>
                <w:rFonts w:eastAsia="Batang" w:cs="Arial"/>
                <w:iCs/>
                <w:color w:val="000000" w:themeColor="text1"/>
                <w:sz w:val="16"/>
                <w:szCs w:val="16"/>
                <w:lang w:val="en-AU" w:bidi="ar-SA"/>
              </w:rPr>
              <w:t>1 - 25</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5EDDC0" w14:textId="77777777" w:rsidR="0033454E" w:rsidRPr="005C6FB7" w:rsidRDefault="0033454E" w:rsidP="0033454E">
            <w:pPr>
              <w:widowControl/>
              <w:jc w:val="center"/>
              <w:rPr>
                <w:rFonts w:eastAsia="Batang" w:cs="Arial"/>
                <w:iCs/>
                <w:color w:val="000000" w:themeColor="text1"/>
                <w:sz w:val="16"/>
                <w:szCs w:val="16"/>
                <w:lang w:val="en-AU" w:bidi="ar-SA"/>
              </w:rPr>
            </w:pPr>
            <w:r w:rsidRPr="005C6FB7">
              <w:rPr>
                <w:rFonts w:eastAsia="Batang" w:cs="Arial"/>
                <w:iCs/>
                <w:color w:val="000000" w:themeColor="text1"/>
                <w:sz w:val="16"/>
                <w:szCs w:val="16"/>
                <w:lang w:val="en-AU" w:bidi="ar-SA"/>
              </w:rPr>
              <w:t>25</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46DEF42" w14:textId="77777777" w:rsidR="0033454E" w:rsidRPr="005C6FB7" w:rsidRDefault="0033454E" w:rsidP="0033454E">
            <w:pPr>
              <w:widowControl/>
              <w:jc w:val="center"/>
              <w:rPr>
                <w:rFonts w:eastAsia="Batang" w:cs="Arial"/>
                <w:iCs/>
                <w:color w:val="000000" w:themeColor="text1"/>
                <w:sz w:val="16"/>
                <w:szCs w:val="16"/>
                <w:lang w:val="en-AU" w:bidi="ar-SA"/>
              </w:rPr>
            </w:pPr>
            <w:r w:rsidRPr="005C6FB7">
              <w:rPr>
                <w:rFonts w:eastAsia="Batang" w:cs="Arial"/>
                <w:iCs/>
                <w:color w:val="000000" w:themeColor="text1"/>
                <w:sz w:val="16"/>
                <w:szCs w:val="16"/>
                <w:vertAlign w:val="superscript"/>
                <w:lang w:val="en-AU" w:bidi="ar-SA"/>
              </w:rPr>
              <w:t>1</w:t>
            </w: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808F05" w14:textId="77777777" w:rsidR="0033454E" w:rsidRPr="005C6FB7" w:rsidRDefault="0033454E" w:rsidP="0033454E">
            <w:pPr>
              <w:widowControl/>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6FB76B4" w14:textId="77777777" w:rsidR="0033454E" w:rsidRPr="005C6FB7" w:rsidRDefault="0033454E" w:rsidP="0033454E">
            <w:pPr>
              <w:widowControl/>
              <w:jc w:val="center"/>
              <w:rPr>
                <w:rFonts w:eastAsia="Batang" w:cs="Arial"/>
                <w:iCs/>
                <w:color w:val="000000" w:themeColor="text1"/>
                <w:sz w:val="16"/>
                <w:szCs w:val="16"/>
                <w:lang w:val="en-AU" w:bidi="ar-SA"/>
              </w:rPr>
            </w:pPr>
            <w:r w:rsidRPr="005C6FB7">
              <w:rPr>
                <w:rFonts w:eastAsia="Batang" w:cs="Arial"/>
                <w:iCs/>
                <w:color w:val="000000" w:themeColor="text1"/>
                <w:sz w:val="16"/>
                <w:szCs w:val="16"/>
                <w:lang w:val="en-AU" w:bidi="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05A098" w14:textId="77777777" w:rsidR="0033454E" w:rsidRPr="005C6FB7" w:rsidRDefault="0033454E" w:rsidP="0033454E">
            <w:pPr>
              <w:widowControl/>
              <w:jc w:val="center"/>
              <w:rPr>
                <w:rFonts w:eastAsia="Batang" w:cs="Arial"/>
                <w:iCs/>
                <w:color w:val="000000" w:themeColor="text1"/>
                <w:sz w:val="16"/>
                <w:szCs w:val="16"/>
                <w:lang w:val="en-AU" w:bidi="ar-SA"/>
              </w:rPr>
            </w:pPr>
          </w:p>
        </w:tc>
      </w:tr>
      <w:tr w:rsidR="0033454E" w:rsidRPr="001B5342" w14:paraId="4E4E9505" w14:textId="77777777" w:rsidTr="0033454E">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71A6F78" w14:textId="77777777" w:rsidR="0033454E" w:rsidRPr="00AB1F10" w:rsidRDefault="0033454E" w:rsidP="0033454E">
            <w:pPr>
              <w:widowControl/>
              <w:rPr>
                <w:rFonts w:eastAsia="Batang" w:cs="Arial"/>
                <w:iCs/>
                <w:color w:val="000000" w:themeColor="text1"/>
                <w:sz w:val="16"/>
                <w:szCs w:val="16"/>
                <w:lang w:val="en-AU" w:bidi="ar-SA"/>
              </w:rPr>
            </w:pPr>
            <w:r w:rsidRPr="00AB1F10">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333CBD" w14:textId="77777777" w:rsidR="0033454E" w:rsidRPr="00AB1F10" w:rsidRDefault="0033454E" w:rsidP="0033454E">
            <w:pPr>
              <w:widowControl/>
              <w:jc w:val="center"/>
              <w:rPr>
                <w:rFonts w:eastAsia="Batang" w:cs="Arial"/>
                <w:iCs/>
                <w:color w:val="000000" w:themeColor="text1"/>
                <w:sz w:val="16"/>
                <w:szCs w:val="16"/>
                <w:lang w:val="en-AU" w:bidi="ar-SA"/>
              </w:rPr>
            </w:pPr>
            <w:r w:rsidRPr="00AB1F10">
              <w:rPr>
                <w:rFonts w:eastAsia="Batang" w:cs="Arial"/>
                <w:iCs/>
                <w:color w:val="000000" w:themeColor="text1"/>
                <w:sz w:val="16"/>
                <w:szCs w:val="16"/>
                <w:lang w:val="en-AU" w:bidi="ar-SA"/>
              </w:rPr>
              <w:t>26 - 97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DF8F3" w14:textId="77777777" w:rsidR="0033454E" w:rsidRPr="00AB1F10" w:rsidRDefault="0033454E" w:rsidP="0033454E">
            <w:pPr>
              <w:widowControl/>
              <w:jc w:val="center"/>
              <w:rPr>
                <w:rFonts w:eastAsia="Batang" w:cs="Arial"/>
                <w:iCs/>
                <w:color w:val="000000" w:themeColor="text1"/>
                <w:sz w:val="16"/>
                <w:szCs w:val="16"/>
                <w:lang w:val="en-AU" w:bidi="ar-SA"/>
              </w:rPr>
            </w:pPr>
            <w:r w:rsidRPr="00AB1F10">
              <w:rPr>
                <w:rFonts w:eastAsia="Batang" w:cs="Arial"/>
                <w:iCs/>
                <w:color w:val="000000" w:themeColor="text1"/>
                <w:sz w:val="16"/>
                <w:szCs w:val="16"/>
                <w:lang w:val="en-AU" w:bidi="ar-SA"/>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45765" w14:textId="77777777" w:rsidR="0033454E" w:rsidRPr="00AB1F10" w:rsidRDefault="0033454E" w:rsidP="0033454E">
            <w:pPr>
              <w:pStyle w:val="ListParagraph"/>
              <w:widowControl/>
              <w:ind w:left="33"/>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A4B8" w14:textId="77777777" w:rsidR="0033454E" w:rsidRPr="00AB1F10" w:rsidRDefault="0033454E" w:rsidP="0033454E">
            <w:pPr>
              <w:widowControl/>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00F750" w14:textId="77777777" w:rsidR="0033454E" w:rsidRPr="00AB1F10" w:rsidRDefault="0033454E" w:rsidP="0033454E">
            <w:pPr>
              <w:widowControl/>
              <w:jc w:val="center"/>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CBB6A" w14:textId="77777777" w:rsidR="0033454E" w:rsidRPr="00AB1F10" w:rsidRDefault="0033454E" w:rsidP="0033454E">
            <w:pPr>
              <w:widowControl/>
              <w:jc w:val="center"/>
              <w:rPr>
                <w:rFonts w:eastAsia="Batang" w:cs="Arial"/>
                <w:iCs/>
                <w:color w:val="000000" w:themeColor="text1"/>
                <w:sz w:val="16"/>
                <w:szCs w:val="16"/>
                <w:lang w:val="en-AU" w:bidi="ar-SA"/>
              </w:rPr>
            </w:pPr>
          </w:p>
        </w:tc>
      </w:tr>
      <w:tr w:rsidR="0033454E" w:rsidRPr="001B5342" w14:paraId="1C898756" w14:textId="77777777" w:rsidTr="0033454E">
        <w:trPr>
          <w:trHeight w:val="340"/>
        </w:trPr>
        <w:tc>
          <w:tcPr>
            <w:tcW w:w="9322" w:type="dxa"/>
            <w:gridSpan w:val="7"/>
            <w:tcBorders>
              <w:top w:val="single" w:sz="4" w:space="0" w:color="auto"/>
              <w:left w:val="single" w:sz="4" w:space="0" w:color="auto"/>
              <w:bottom w:val="single" w:sz="4" w:space="0" w:color="auto"/>
              <w:right w:val="single" w:sz="4" w:space="0" w:color="auto"/>
            </w:tcBorders>
            <w:shd w:val="clear" w:color="auto" w:fill="66CCFF"/>
            <w:vAlign w:val="center"/>
          </w:tcPr>
          <w:p w14:paraId="37B7AD8B" w14:textId="77777777" w:rsidR="0033454E" w:rsidRPr="000261F6" w:rsidRDefault="0033454E" w:rsidP="0033454E">
            <w:pPr>
              <w:widowControl/>
              <w:rPr>
                <w:rFonts w:eastAsia="Batang" w:cs="Arial"/>
                <w:iCs/>
                <w:color w:val="000000" w:themeColor="text1"/>
                <w:sz w:val="16"/>
                <w:szCs w:val="16"/>
                <w:lang w:val="en-AU" w:bidi="ar-SA"/>
              </w:rPr>
            </w:pPr>
            <w:r w:rsidRPr="000261F6">
              <w:rPr>
                <w:rFonts w:eastAsia="Batang" w:cs="Arial"/>
                <w:b/>
                <w:i/>
                <w:iCs/>
                <w:color w:val="000000" w:themeColor="text1"/>
                <w:sz w:val="16"/>
                <w:szCs w:val="16"/>
                <w:lang w:val="en-AU" w:bidi="ar-SA"/>
              </w:rPr>
              <w:t xml:space="preserve">bar </w:t>
            </w:r>
            <w:r w:rsidRPr="000261F6">
              <w:rPr>
                <w:rFonts w:eastAsia="Batang" w:cs="Arial"/>
                <w:b/>
                <w:iCs/>
                <w:color w:val="000000" w:themeColor="text1"/>
                <w:sz w:val="16"/>
                <w:szCs w:val="16"/>
                <w:lang w:val="en-AU" w:bidi="ar-SA"/>
              </w:rPr>
              <w:t>cassette</w:t>
            </w:r>
          </w:p>
        </w:tc>
      </w:tr>
      <w:tr w:rsidR="0033454E" w:rsidRPr="001B5342" w14:paraId="3CD279AB"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6319BFEA" w14:textId="77777777" w:rsidR="0033454E" w:rsidRPr="00894A75" w:rsidRDefault="0033454E" w:rsidP="0033454E">
            <w:pPr>
              <w:widowControl/>
              <w:jc w:val="center"/>
              <w:rPr>
                <w:rFonts w:eastAsia="Batang" w:cs="Arial"/>
                <w:i/>
                <w:iCs/>
                <w:color w:val="000000" w:themeColor="text1"/>
                <w:sz w:val="16"/>
                <w:szCs w:val="16"/>
                <w:lang w:val="en-AU" w:bidi="ar-SA"/>
              </w:rPr>
            </w:pPr>
            <w:r w:rsidRPr="00894A75">
              <w:rPr>
                <w:rFonts w:eastAsia="Batang" w:cs="Arial"/>
                <w:i/>
                <w:iCs/>
                <w:color w:val="000000" w:themeColor="text1"/>
                <w:sz w:val="16"/>
                <w:szCs w:val="16"/>
                <w:lang w:val="en-AU" w:bidi="ar-SA"/>
              </w:rPr>
              <w:t>3’g7</w:t>
            </w:r>
          </w:p>
        </w:tc>
        <w:tc>
          <w:tcPr>
            <w:tcW w:w="1276" w:type="dxa"/>
            <w:tcBorders>
              <w:top w:val="single" w:sz="4" w:space="0" w:color="auto"/>
              <w:left w:val="single" w:sz="4" w:space="0" w:color="auto"/>
              <w:bottom w:val="single" w:sz="4" w:space="0" w:color="auto"/>
              <w:right w:val="single" w:sz="4" w:space="0" w:color="auto"/>
            </w:tcBorders>
            <w:vAlign w:val="center"/>
          </w:tcPr>
          <w:p w14:paraId="6DE44D65"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98-309</w:t>
            </w:r>
          </w:p>
        </w:tc>
        <w:tc>
          <w:tcPr>
            <w:tcW w:w="709" w:type="dxa"/>
            <w:tcBorders>
              <w:top w:val="single" w:sz="4" w:space="0" w:color="auto"/>
              <w:left w:val="single" w:sz="4" w:space="0" w:color="auto"/>
              <w:bottom w:val="single" w:sz="4" w:space="0" w:color="auto"/>
              <w:right w:val="single" w:sz="4" w:space="0" w:color="auto"/>
            </w:tcBorders>
            <w:vAlign w:val="center"/>
          </w:tcPr>
          <w:p w14:paraId="6A7A1047"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212</w:t>
            </w:r>
          </w:p>
        </w:tc>
        <w:tc>
          <w:tcPr>
            <w:tcW w:w="1559" w:type="dxa"/>
            <w:tcBorders>
              <w:top w:val="single" w:sz="4" w:space="0" w:color="auto"/>
              <w:left w:val="single" w:sz="4" w:space="0" w:color="auto"/>
              <w:bottom w:val="single" w:sz="4" w:space="0" w:color="auto"/>
              <w:right w:val="single" w:sz="4" w:space="0" w:color="auto"/>
            </w:tcBorders>
            <w:vAlign w:val="center"/>
          </w:tcPr>
          <w:p w14:paraId="67CF65E8" w14:textId="77777777" w:rsidR="0033454E" w:rsidRPr="00894A75" w:rsidRDefault="0033454E" w:rsidP="0033454E">
            <w:pPr>
              <w:widowControl/>
              <w:jc w:val="center"/>
              <w:rPr>
                <w:rFonts w:eastAsia="Batang" w:cs="Arial"/>
                <w:i/>
                <w:iCs/>
                <w:color w:val="000000" w:themeColor="text1"/>
                <w:sz w:val="16"/>
                <w:szCs w:val="16"/>
                <w:lang w:val="en-AU" w:bidi="ar-SA"/>
              </w:rPr>
            </w:pPr>
            <w:r w:rsidRPr="00894A75">
              <w:rPr>
                <w:rFonts w:eastAsia="Batang" w:cs="Arial"/>
                <w:i/>
                <w:iCs/>
                <w:color w:val="000000" w:themeColor="text1"/>
                <w:sz w:val="16"/>
                <w:szCs w:val="16"/>
                <w:lang w:val="en-AU" w:bidi="ar-SA"/>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1A8567A0"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0AE51FA6" w14:textId="77777777" w:rsidR="0033454E" w:rsidRPr="00894A75"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 xml:space="preserve">Terminator region of the TL-DNA 7 gene of the octopine </w:t>
            </w:r>
            <w:r w:rsidRPr="00AC3F2B">
              <w:rPr>
                <w:rFonts w:eastAsia="Batang" w:cs="Arial"/>
                <w:iCs/>
                <w:color w:val="000000" w:themeColor="text1"/>
                <w:sz w:val="16"/>
                <w:szCs w:val="16"/>
                <w:lang w:val="en-AU" w:bidi="ar-SA"/>
              </w:rPr>
              <w:t>Ti p</w:t>
            </w:r>
            <w:r w:rsidRPr="00894A75">
              <w:rPr>
                <w:rFonts w:eastAsia="Batang" w:cs="Arial"/>
                <w:iCs/>
                <w:color w:val="000000" w:themeColor="text1"/>
                <w:sz w:val="16"/>
                <w:szCs w:val="16"/>
                <w:lang w:val="en-AU" w:bidi="ar-SA"/>
              </w:rPr>
              <w:t>lasmid</w:t>
            </w:r>
          </w:p>
          <w:p w14:paraId="12FBD177" w14:textId="77777777" w:rsidR="0033454E" w:rsidRPr="00894A75"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894A75">
              <w:rPr>
                <w:rFonts w:eastAsia="Batang" w:cs="Arial"/>
                <w:iCs/>
                <w:color w:val="000000" w:themeColor="text1"/>
                <w:sz w:val="16"/>
                <w:szCs w:val="16"/>
                <w:lang w:bidi="ar-SA"/>
              </w:rPr>
              <w:t xml:space="preserve">Directs polyadenylation of the </w:t>
            </w:r>
            <w:r w:rsidRPr="00894A75">
              <w:rPr>
                <w:rFonts w:eastAsia="Batang" w:cs="Arial"/>
                <w:i/>
                <w:iCs/>
                <w:color w:val="000000" w:themeColor="text1"/>
                <w:sz w:val="16"/>
                <w:szCs w:val="16"/>
                <w:lang w:bidi="ar-SA"/>
              </w:rPr>
              <w:t>bar</w:t>
            </w:r>
            <w:r w:rsidRPr="00894A75">
              <w:rPr>
                <w:rFonts w:eastAsia="Batang" w:cs="Arial"/>
                <w:iCs/>
                <w:color w:val="000000" w:themeColor="text1"/>
                <w:sz w:val="16"/>
                <w:szCs w:val="16"/>
                <w:lang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619F7182" w14:textId="77777777" w:rsidR="0033454E" w:rsidRPr="00894A75" w:rsidRDefault="0033454E" w:rsidP="0033454E">
            <w:pPr>
              <w:widowControl/>
              <w:jc w:val="center"/>
              <w:rPr>
                <w:rFonts w:eastAsia="Batang" w:cs="Arial"/>
                <w:iCs/>
                <w:color w:val="000000" w:themeColor="text1"/>
                <w:sz w:val="16"/>
                <w:szCs w:val="16"/>
                <w:lang w:val="en-AU" w:bidi="ar-SA"/>
              </w:rPr>
            </w:pPr>
            <w:r w:rsidRPr="00AB0610">
              <w:rPr>
                <w:rFonts w:eastAsia="Batang" w:cs="Arial"/>
                <w:iCs/>
                <w:color w:val="000000" w:themeColor="text1"/>
                <w:sz w:val="16"/>
                <w:szCs w:val="16"/>
                <w:lang w:val="en-AU" w:bidi="ar-SA"/>
              </w:rPr>
              <w:t xml:space="preserve">Dhaese et al </w:t>
            </w:r>
            <w:r>
              <w:rPr>
                <w:rFonts w:eastAsia="Batang" w:cs="Arial"/>
                <w:iCs/>
                <w:noProof/>
                <w:color w:val="000000" w:themeColor="text1"/>
                <w:sz w:val="16"/>
                <w:szCs w:val="16"/>
                <w:lang w:val="en-AU" w:bidi="ar-SA"/>
              </w:rPr>
              <w:t>(1983)</w:t>
            </w:r>
          </w:p>
        </w:tc>
      </w:tr>
      <w:tr w:rsidR="0033454E" w:rsidRPr="001B5342" w14:paraId="4096F553"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71926F1B"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19BD64C8"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310 - 331</w:t>
            </w:r>
          </w:p>
        </w:tc>
        <w:tc>
          <w:tcPr>
            <w:tcW w:w="709" w:type="dxa"/>
            <w:tcBorders>
              <w:top w:val="single" w:sz="4" w:space="0" w:color="auto"/>
              <w:left w:val="single" w:sz="4" w:space="0" w:color="auto"/>
              <w:bottom w:val="single" w:sz="4" w:space="0" w:color="auto"/>
              <w:right w:val="single" w:sz="4" w:space="0" w:color="auto"/>
            </w:tcBorders>
            <w:vAlign w:val="center"/>
          </w:tcPr>
          <w:p w14:paraId="11D01DCF"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21</w:t>
            </w:r>
          </w:p>
        </w:tc>
        <w:tc>
          <w:tcPr>
            <w:tcW w:w="1559" w:type="dxa"/>
            <w:tcBorders>
              <w:top w:val="single" w:sz="4" w:space="0" w:color="auto"/>
              <w:left w:val="single" w:sz="4" w:space="0" w:color="auto"/>
              <w:bottom w:val="single" w:sz="4" w:space="0" w:color="auto"/>
              <w:right w:val="single" w:sz="4" w:space="0" w:color="auto"/>
            </w:tcBorders>
            <w:vAlign w:val="center"/>
          </w:tcPr>
          <w:p w14:paraId="781436CF" w14:textId="77777777" w:rsidR="0033454E" w:rsidRPr="00894A75"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3A878E46" w14:textId="77777777" w:rsidR="0033454E" w:rsidRPr="00894A75" w:rsidRDefault="0033454E" w:rsidP="0033454E">
            <w:pPr>
              <w:autoSpaceDE w:val="0"/>
              <w:autoSpaceDN w:val="0"/>
              <w:adjustRightInd w:val="0"/>
              <w:jc w:val="center"/>
              <w:rPr>
                <w:rFonts w:eastAsiaTheme="minorHAnsi" w:cs="Arial"/>
                <w:color w:val="000000" w:themeColor="text1"/>
                <w:sz w:val="16"/>
                <w:szCs w:val="16"/>
                <w:lang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7D69DCA2" w14:textId="77777777" w:rsidR="0033454E" w:rsidRPr="00894A75" w:rsidRDefault="0033454E" w:rsidP="0033454E">
            <w:pPr>
              <w:autoSpaceDE w:val="0"/>
              <w:autoSpaceDN w:val="0"/>
              <w:adjustRightInd w:val="0"/>
              <w:rPr>
                <w:rFonts w:eastAsiaTheme="minorHAnsi" w:cs="Arial"/>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1421E72" w14:textId="77777777" w:rsidR="0033454E" w:rsidRPr="00894A75" w:rsidRDefault="0033454E" w:rsidP="0033454E">
            <w:pPr>
              <w:autoSpaceDE w:val="0"/>
              <w:autoSpaceDN w:val="0"/>
              <w:adjustRightInd w:val="0"/>
              <w:jc w:val="center"/>
              <w:rPr>
                <w:rFonts w:eastAsiaTheme="minorHAnsi" w:cs="Arial"/>
                <w:color w:val="000000" w:themeColor="text1"/>
                <w:sz w:val="16"/>
                <w:szCs w:val="16"/>
                <w:lang w:bidi="ar-SA"/>
              </w:rPr>
            </w:pPr>
          </w:p>
        </w:tc>
      </w:tr>
      <w:tr w:rsidR="0033454E" w:rsidRPr="001B5342" w14:paraId="58DCFAE4"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7A4E38EE" w14:textId="77777777" w:rsidR="0033454E" w:rsidRPr="00894A75" w:rsidRDefault="0033454E" w:rsidP="0033454E">
            <w:pPr>
              <w:widowControl/>
              <w:jc w:val="center"/>
              <w:rPr>
                <w:rFonts w:eastAsia="Batang" w:cs="Arial"/>
                <w:i/>
                <w:iCs/>
                <w:color w:val="000000" w:themeColor="text1"/>
                <w:sz w:val="16"/>
                <w:szCs w:val="16"/>
                <w:lang w:val="en-AU" w:bidi="ar-SA"/>
              </w:rPr>
            </w:pPr>
            <w:r w:rsidRPr="00894A75">
              <w:rPr>
                <w:rFonts w:eastAsia="Batang" w:cs="Arial"/>
                <w:i/>
                <w:iCs/>
                <w:color w:val="000000" w:themeColor="text1"/>
                <w:sz w:val="16"/>
                <w:szCs w:val="16"/>
                <w:lang w:val="en-AU" w:bidi="ar-SA"/>
              </w:rPr>
              <w:t>bar</w:t>
            </w:r>
          </w:p>
        </w:tc>
        <w:tc>
          <w:tcPr>
            <w:tcW w:w="1276" w:type="dxa"/>
            <w:tcBorders>
              <w:top w:val="single" w:sz="4" w:space="0" w:color="auto"/>
              <w:left w:val="single" w:sz="4" w:space="0" w:color="auto"/>
              <w:bottom w:val="single" w:sz="4" w:space="0" w:color="auto"/>
              <w:right w:val="single" w:sz="4" w:space="0" w:color="auto"/>
            </w:tcBorders>
            <w:vAlign w:val="center"/>
          </w:tcPr>
          <w:p w14:paraId="25EB031D"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332 - 883</w:t>
            </w:r>
          </w:p>
        </w:tc>
        <w:tc>
          <w:tcPr>
            <w:tcW w:w="709" w:type="dxa"/>
            <w:tcBorders>
              <w:top w:val="single" w:sz="4" w:space="0" w:color="auto"/>
              <w:left w:val="single" w:sz="4" w:space="0" w:color="auto"/>
              <w:bottom w:val="single" w:sz="4" w:space="0" w:color="auto"/>
              <w:right w:val="single" w:sz="4" w:space="0" w:color="auto"/>
            </w:tcBorders>
            <w:vAlign w:val="center"/>
          </w:tcPr>
          <w:p w14:paraId="43E344BB" w14:textId="77777777" w:rsidR="0033454E" w:rsidRPr="00894A75" w:rsidRDefault="0033454E" w:rsidP="0033454E">
            <w:pPr>
              <w:widowControl/>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552</w:t>
            </w:r>
          </w:p>
        </w:tc>
        <w:tc>
          <w:tcPr>
            <w:tcW w:w="1559" w:type="dxa"/>
            <w:tcBorders>
              <w:top w:val="single" w:sz="4" w:space="0" w:color="auto"/>
              <w:left w:val="single" w:sz="4" w:space="0" w:color="auto"/>
              <w:bottom w:val="single" w:sz="4" w:space="0" w:color="auto"/>
              <w:right w:val="single" w:sz="4" w:space="0" w:color="auto"/>
            </w:tcBorders>
            <w:vAlign w:val="center"/>
          </w:tcPr>
          <w:p w14:paraId="00D08192" w14:textId="77777777" w:rsidR="0033454E" w:rsidRPr="00894A75" w:rsidRDefault="0033454E" w:rsidP="0033454E">
            <w:pPr>
              <w:widowControl/>
              <w:jc w:val="center"/>
              <w:rPr>
                <w:rFonts w:eastAsia="Batang" w:cs="Arial"/>
                <w:i/>
                <w:iCs/>
                <w:color w:val="000000" w:themeColor="text1"/>
                <w:sz w:val="16"/>
                <w:szCs w:val="16"/>
                <w:lang w:val="en-AU" w:bidi="ar-SA"/>
              </w:rPr>
            </w:pPr>
            <w:r w:rsidRPr="00894A75">
              <w:rPr>
                <w:rFonts w:eastAsia="Batang" w:cs="Arial"/>
                <w:i/>
                <w:iCs/>
                <w:color w:val="000000" w:themeColor="text1"/>
                <w:sz w:val="16"/>
                <w:szCs w:val="16"/>
                <w:lang w:val="en-AU" w:bidi="ar-SA"/>
              </w:rPr>
              <w:t>S. hygroscopicus</w:t>
            </w:r>
          </w:p>
        </w:tc>
        <w:tc>
          <w:tcPr>
            <w:tcW w:w="992" w:type="dxa"/>
            <w:tcBorders>
              <w:top w:val="single" w:sz="4" w:space="0" w:color="auto"/>
              <w:left w:val="single" w:sz="4" w:space="0" w:color="auto"/>
              <w:bottom w:val="single" w:sz="4" w:space="0" w:color="auto"/>
              <w:right w:val="single" w:sz="4" w:space="0" w:color="auto"/>
            </w:tcBorders>
            <w:vAlign w:val="center"/>
          </w:tcPr>
          <w:p w14:paraId="5A076407" w14:textId="77777777" w:rsidR="0033454E" w:rsidRPr="00894A75" w:rsidRDefault="0033454E" w:rsidP="0033454E">
            <w:pPr>
              <w:widowControl/>
              <w:ind w:left="34"/>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68953DE7" w14:textId="77777777" w:rsidR="0033454E" w:rsidRPr="00894A75" w:rsidRDefault="0033454E" w:rsidP="00BD2330">
            <w:pPr>
              <w:pStyle w:val="ListParagraph"/>
              <w:widowControl/>
              <w:numPr>
                <w:ilvl w:val="0"/>
                <w:numId w:val="5"/>
              </w:numPr>
              <w:ind w:left="175" w:hanging="175"/>
              <w:rPr>
                <w:rFonts w:eastAsia="Batang" w:cs="Arial"/>
                <w:iCs/>
                <w:color w:val="000000" w:themeColor="text1"/>
                <w:sz w:val="16"/>
                <w:szCs w:val="16"/>
                <w:lang w:val="en-AU" w:bidi="ar-SA"/>
              </w:rPr>
            </w:pPr>
            <w:r>
              <w:rPr>
                <w:rFonts w:eastAsia="Batang" w:cs="Arial"/>
                <w:iCs/>
                <w:color w:val="000000" w:themeColor="text1"/>
                <w:sz w:val="16"/>
                <w:szCs w:val="16"/>
                <w:lang w:val="en-AU" w:bidi="ar-SA"/>
              </w:rPr>
              <w:t>Modified c</w:t>
            </w:r>
            <w:r w:rsidRPr="00894A75">
              <w:rPr>
                <w:rFonts w:eastAsia="Batang" w:cs="Arial"/>
                <w:iCs/>
                <w:color w:val="000000" w:themeColor="text1"/>
                <w:sz w:val="16"/>
                <w:szCs w:val="16"/>
                <w:lang w:val="en-AU" w:bidi="ar-SA"/>
              </w:rPr>
              <w:t xml:space="preserve">oding sequence of the </w:t>
            </w:r>
            <w:r w:rsidRPr="00894A75">
              <w:rPr>
                <w:rFonts w:eastAsia="Batang" w:cs="Arial"/>
                <w:i/>
                <w:iCs/>
                <w:color w:val="000000" w:themeColor="text1"/>
                <w:sz w:val="16"/>
                <w:szCs w:val="16"/>
                <w:lang w:val="en-AU" w:bidi="ar-SA"/>
              </w:rPr>
              <w:t xml:space="preserve">phosphinothricin acetyltransferase </w:t>
            </w:r>
            <w:r w:rsidRPr="00894A75">
              <w:rPr>
                <w:rFonts w:eastAsia="Batang" w:cs="Arial"/>
                <w:iCs/>
                <w:color w:val="000000" w:themeColor="text1"/>
                <w:sz w:val="16"/>
                <w:szCs w:val="16"/>
                <w:lang w:val="en-AU" w:bidi="ar-SA"/>
              </w:rPr>
              <w:t>gene</w:t>
            </w:r>
          </w:p>
        </w:tc>
        <w:tc>
          <w:tcPr>
            <w:tcW w:w="1134" w:type="dxa"/>
            <w:tcBorders>
              <w:top w:val="single" w:sz="4" w:space="0" w:color="auto"/>
              <w:left w:val="single" w:sz="4" w:space="0" w:color="auto"/>
              <w:bottom w:val="single" w:sz="4" w:space="0" w:color="auto"/>
              <w:right w:val="single" w:sz="4" w:space="0" w:color="auto"/>
            </w:tcBorders>
            <w:vAlign w:val="center"/>
          </w:tcPr>
          <w:p w14:paraId="4074B8A9" w14:textId="77777777" w:rsidR="0033454E" w:rsidRPr="00894A75" w:rsidRDefault="0033454E" w:rsidP="0033454E">
            <w:pPr>
              <w:widowControl/>
              <w:ind w:left="34"/>
              <w:jc w:val="center"/>
              <w:rPr>
                <w:rFonts w:eastAsia="Batang" w:cs="Arial"/>
                <w:iCs/>
                <w:color w:val="000000" w:themeColor="text1"/>
                <w:sz w:val="16"/>
                <w:szCs w:val="16"/>
                <w:lang w:val="en-AU" w:bidi="ar-SA"/>
              </w:rPr>
            </w:pPr>
            <w:r w:rsidRPr="00894A75">
              <w:rPr>
                <w:rFonts w:eastAsia="Batang" w:cs="Arial"/>
                <w:iCs/>
                <w:color w:val="000000" w:themeColor="text1"/>
                <w:sz w:val="16"/>
                <w:szCs w:val="16"/>
                <w:lang w:val="en-AU" w:bidi="ar-SA"/>
              </w:rPr>
              <w:t xml:space="preserve">Thompson et al </w:t>
            </w:r>
            <w:r>
              <w:rPr>
                <w:rFonts w:eastAsia="Batang" w:cs="Arial"/>
                <w:iCs/>
                <w:noProof/>
                <w:color w:val="000000" w:themeColor="text1"/>
                <w:sz w:val="16"/>
                <w:szCs w:val="16"/>
                <w:lang w:val="en-AU" w:bidi="ar-SA"/>
              </w:rPr>
              <w:t>(1987)</w:t>
            </w:r>
          </w:p>
        </w:tc>
      </w:tr>
      <w:tr w:rsidR="0033454E" w:rsidRPr="001B5342" w14:paraId="7B3D495D"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3091F251" w14:textId="77777777" w:rsidR="0033454E" w:rsidRPr="008418FE" w:rsidRDefault="0033454E" w:rsidP="0033454E">
            <w:pPr>
              <w:widowControl/>
              <w:jc w:val="center"/>
              <w:rPr>
                <w:rFonts w:eastAsia="Batang" w:cs="Arial"/>
                <w:iCs/>
                <w:color w:val="000000" w:themeColor="text1"/>
                <w:sz w:val="16"/>
                <w:szCs w:val="16"/>
                <w:lang w:val="en-AU" w:bidi="ar-SA"/>
              </w:rPr>
            </w:pPr>
            <w:r w:rsidRPr="008418FE">
              <w:rPr>
                <w:rFonts w:eastAsia="Batang" w:cs="Arial"/>
                <w:i/>
                <w:iCs/>
                <w:color w:val="000000" w:themeColor="text1"/>
                <w:sz w:val="16"/>
                <w:szCs w:val="16"/>
                <w:lang w:val="en-AU" w:bidi="ar-SA"/>
              </w:rPr>
              <w:t>SSUAt</w:t>
            </w:r>
          </w:p>
        </w:tc>
        <w:tc>
          <w:tcPr>
            <w:tcW w:w="1276" w:type="dxa"/>
            <w:tcBorders>
              <w:top w:val="single" w:sz="4" w:space="0" w:color="auto"/>
              <w:left w:val="single" w:sz="4" w:space="0" w:color="auto"/>
              <w:bottom w:val="single" w:sz="4" w:space="0" w:color="auto"/>
              <w:right w:val="single" w:sz="4" w:space="0" w:color="auto"/>
            </w:tcBorders>
            <w:vAlign w:val="center"/>
          </w:tcPr>
          <w:p w14:paraId="6A09E012" w14:textId="77777777" w:rsidR="0033454E" w:rsidRPr="008418FE" w:rsidRDefault="0033454E" w:rsidP="0033454E">
            <w:pPr>
              <w:widowControl/>
              <w:jc w:val="center"/>
              <w:rPr>
                <w:rFonts w:eastAsia="Batang" w:cs="Arial"/>
                <w:iCs/>
                <w:color w:val="000000" w:themeColor="text1"/>
                <w:sz w:val="16"/>
                <w:szCs w:val="16"/>
                <w:lang w:val="en-AU" w:bidi="ar-SA"/>
              </w:rPr>
            </w:pPr>
            <w:r w:rsidRPr="008418FE">
              <w:rPr>
                <w:rFonts w:eastAsia="Batang" w:cs="Arial"/>
                <w:iCs/>
                <w:color w:val="000000" w:themeColor="text1"/>
                <w:sz w:val="16"/>
                <w:szCs w:val="16"/>
                <w:lang w:val="en-AU" w:bidi="ar-SA"/>
              </w:rPr>
              <w:t>884 - 2613</w:t>
            </w:r>
          </w:p>
        </w:tc>
        <w:tc>
          <w:tcPr>
            <w:tcW w:w="709" w:type="dxa"/>
            <w:tcBorders>
              <w:top w:val="single" w:sz="4" w:space="0" w:color="auto"/>
              <w:left w:val="single" w:sz="4" w:space="0" w:color="auto"/>
              <w:bottom w:val="single" w:sz="4" w:space="0" w:color="auto"/>
              <w:right w:val="single" w:sz="4" w:space="0" w:color="auto"/>
            </w:tcBorders>
            <w:vAlign w:val="center"/>
          </w:tcPr>
          <w:p w14:paraId="17E5F9CB" w14:textId="77777777" w:rsidR="0033454E" w:rsidRPr="008418FE" w:rsidRDefault="0033454E" w:rsidP="0033454E">
            <w:pPr>
              <w:widowControl/>
              <w:jc w:val="center"/>
              <w:rPr>
                <w:rFonts w:eastAsia="Batang" w:cs="Arial"/>
                <w:iCs/>
                <w:color w:val="000000" w:themeColor="text1"/>
                <w:sz w:val="16"/>
                <w:szCs w:val="16"/>
                <w:lang w:val="en-AU" w:bidi="ar-SA"/>
              </w:rPr>
            </w:pPr>
            <w:r w:rsidRPr="008418FE">
              <w:rPr>
                <w:rFonts w:eastAsia="Batang" w:cs="Arial"/>
                <w:iCs/>
                <w:color w:val="000000" w:themeColor="text1"/>
                <w:sz w:val="16"/>
                <w:szCs w:val="16"/>
                <w:lang w:val="en-AU" w:bidi="ar-SA"/>
              </w:rPr>
              <w:t>1730</w:t>
            </w:r>
          </w:p>
        </w:tc>
        <w:tc>
          <w:tcPr>
            <w:tcW w:w="1559" w:type="dxa"/>
            <w:tcBorders>
              <w:top w:val="single" w:sz="4" w:space="0" w:color="auto"/>
              <w:left w:val="single" w:sz="4" w:space="0" w:color="auto"/>
              <w:bottom w:val="single" w:sz="4" w:space="0" w:color="auto"/>
              <w:right w:val="single" w:sz="4" w:space="0" w:color="auto"/>
            </w:tcBorders>
            <w:vAlign w:val="center"/>
          </w:tcPr>
          <w:p w14:paraId="6CAC9FC2" w14:textId="77777777" w:rsidR="0033454E" w:rsidRPr="008418FE" w:rsidRDefault="0033454E" w:rsidP="0033454E">
            <w:pPr>
              <w:widowControl/>
              <w:jc w:val="center"/>
              <w:rPr>
                <w:rFonts w:eastAsia="Batang" w:cs="Arial"/>
                <w:i/>
                <w:iCs/>
                <w:color w:val="000000" w:themeColor="text1"/>
                <w:sz w:val="16"/>
                <w:szCs w:val="16"/>
                <w:lang w:val="en-AU" w:bidi="ar-SA"/>
              </w:rPr>
            </w:pPr>
            <w:r w:rsidRPr="008418FE">
              <w:rPr>
                <w:rFonts w:eastAsia="Batang" w:cs="Arial"/>
                <w:i/>
                <w:iCs/>
                <w:color w:val="000000" w:themeColor="text1"/>
                <w:sz w:val="16"/>
                <w:szCs w:val="16"/>
                <w:lang w:val="en-AU" w:bidi="ar-SA"/>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3579CC77" w14:textId="77777777" w:rsidR="0033454E" w:rsidRPr="008418FE" w:rsidRDefault="0033454E" w:rsidP="0033454E">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a</w:t>
            </w:r>
            <w:r w:rsidRPr="008418FE">
              <w:rPr>
                <w:rFonts w:eastAsia="Batang" w:cs="Arial"/>
                <w:iCs/>
                <w:color w:val="000000" w:themeColor="text1"/>
                <w:sz w:val="16"/>
                <w:szCs w:val="16"/>
                <w:lang w:val="en-AU" w:bidi="ar-SA"/>
              </w:rPr>
              <w:t>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1CA5B5CB" w14:textId="77777777" w:rsidR="0033454E" w:rsidRPr="008418FE"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8418FE">
              <w:rPr>
                <w:rFonts w:eastAsia="Batang" w:cs="Arial"/>
                <w:iCs/>
                <w:color w:val="000000" w:themeColor="text1"/>
                <w:sz w:val="16"/>
                <w:szCs w:val="16"/>
                <w:lang w:val="en-AU" w:bidi="ar-SA"/>
              </w:rPr>
              <w:t>RUBISCO small sub-unit promoter region</w:t>
            </w:r>
          </w:p>
          <w:p w14:paraId="1C3BE7F1" w14:textId="77777777" w:rsidR="0033454E" w:rsidRPr="008418FE"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8418FE">
              <w:rPr>
                <w:rFonts w:eastAsia="Batang" w:cs="Arial"/>
                <w:iCs/>
                <w:color w:val="000000" w:themeColor="text1"/>
                <w:sz w:val="16"/>
                <w:szCs w:val="16"/>
                <w:lang w:val="en-AU" w:bidi="ar-SA"/>
              </w:rPr>
              <w:t xml:space="preserve">Directs transcription of the </w:t>
            </w:r>
            <w:r w:rsidRPr="008418FE">
              <w:rPr>
                <w:rFonts w:eastAsia="Batang" w:cs="Arial"/>
                <w:i/>
                <w:iCs/>
                <w:color w:val="000000" w:themeColor="text1"/>
                <w:sz w:val="16"/>
                <w:szCs w:val="16"/>
                <w:lang w:val="en-AU" w:bidi="ar-SA"/>
              </w:rPr>
              <w:t>bar</w:t>
            </w:r>
            <w:r w:rsidRPr="008418FE">
              <w:rPr>
                <w:rFonts w:eastAsia="Batang" w:cs="Arial"/>
                <w:iCs/>
                <w:color w:val="000000" w:themeColor="text1"/>
                <w:sz w:val="16"/>
                <w:szCs w:val="16"/>
                <w:lang w:val="en-AU"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413DCF0F" w14:textId="77777777" w:rsidR="0033454E" w:rsidRPr="008418FE" w:rsidRDefault="0033454E" w:rsidP="0033454E">
            <w:pPr>
              <w:widowControl/>
              <w:ind w:left="34"/>
              <w:jc w:val="center"/>
              <w:rPr>
                <w:rFonts w:eastAsia="Batang" w:cs="Arial"/>
                <w:iCs/>
                <w:color w:val="000000" w:themeColor="text1"/>
                <w:sz w:val="16"/>
                <w:szCs w:val="16"/>
                <w:lang w:val="en-AU" w:bidi="ar-SA"/>
              </w:rPr>
            </w:pPr>
            <w:r w:rsidRPr="008418FE">
              <w:rPr>
                <w:rFonts w:eastAsia="Batang" w:cs="Arial"/>
                <w:iCs/>
                <w:color w:val="000000" w:themeColor="text1"/>
                <w:sz w:val="16"/>
                <w:szCs w:val="16"/>
                <w:lang w:val="en-AU" w:bidi="ar-SA"/>
              </w:rPr>
              <w:t xml:space="preserve">Krebbers et al </w:t>
            </w:r>
            <w:r>
              <w:rPr>
                <w:rFonts w:eastAsia="Batang" w:cs="Arial"/>
                <w:iCs/>
                <w:noProof/>
                <w:color w:val="000000" w:themeColor="text1"/>
                <w:sz w:val="16"/>
                <w:szCs w:val="16"/>
                <w:lang w:val="en-AU" w:bidi="ar-SA"/>
              </w:rPr>
              <w:t>(1988)</w:t>
            </w:r>
          </w:p>
        </w:tc>
      </w:tr>
      <w:tr w:rsidR="0033454E" w:rsidRPr="001B5342" w14:paraId="1F4A99CD"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79346998"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6AC3F350"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2614 - 2658</w:t>
            </w:r>
          </w:p>
        </w:tc>
        <w:tc>
          <w:tcPr>
            <w:tcW w:w="709" w:type="dxa"/>
            <w:tcBorders>
              <w:top w:val="single" w:sz="4" w:space="0" w:color="auto"/>
              <w:left w:val="single" w:sz="4" w:space="0" w:color="auto"/>
              <w:bottom w:val="single" w:sz="4" w:space="0" w:color="auto"/>
              <w:right w:val="single" w:sz="4" w:space="0" w:color="auto"/>
            </w:tcBorders>
            <w:vAlign w:val="center"/>
          </w:tcPr>
          <w:p w14:paraId="7A5A3114" w14:textId="77777777" w:rsidR="0033454E" w:rsidRPr="000261F6" w:rsidRDefault="0033454E" w:rsidP="0033454E">
            <w:pPr>
              <w:widowControl/>
              <w:jc w:val="center"/>
              <w:rPr>
                <w:rFonts w:eastAsia="Batang" w:cs="Arial"/>
                <w:iCs/>
                <w:color w:val="000000" w:themeColor="text1"/>
                <w:sz w:val="16"/>
                <w:szCs w:val="16"/>
                <w:lang w:val="en-AU" w:bidi="ar-SA"/>
              </w:rPr>
            </w:pPr>
            <w:r w:rsidRPr="000261F6">
              <w:rPr>
                <w:rFonts w:eastAsia="Batang" w:cs="Arial"/>
                <w:iCs/>
                <w:color w:val="000000" w:themeColor="text1"/>
                <w:sz w:val="16"/>
                <w:szCs w:val="16"/>
                <w:lang w:val="en-AU" w:bidi="ar-SA"/>
              </w:rPr>
              <w:t>45</w:t>
            </w:r>
          </w:p>
        </w:tc>
        <w:tc>
          <w:tcPr>
            <w:tcW w:w="1559" w:type="dxa"/>
            <w:tcBorders>
              <w:top w:val="single" w:sz="4" w:space="0" w:color="auto"/>
              <w:left w:val="single" w:sz="4" w:space="0" w:color="auto"/>
              <w:bottom w:val="single" w:sz="4" w:space="0" w:color="auto"/>
              <w:right w:val="single" w:sz="4" w:space="0" w:color="auto"/>
            </w:tcBorders>
            <w:vAlign w:val="center"/>
          </w:tcPr>
          <w:p w14:paraId="7119D77B" w14:textId="77777777" w:rsidR="0033454E" w:rsidRPr="000261F6"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076C7642" w14:textId="77777777" w:rsidR="0033454E" w:rsidRPr="000261F6"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67017D18" w14:textId="77777777" w:rsidR="0033454E" w:rsidRPr="000261F6" w:rsidRDefault="0033454E" w:rsidP="0033454E">
            <w:pPr>
              <w:pStyle w:val="ListParagraph"/>
              <w:widowControl/>
              <w:ind w:left="175"/>
              <w:rPr>
                <w:rFonts w:eastAsia="Batang" w:cs="Arial"/>
                <w:iCs/>
                <w:color w:val="000000" w:themeColor="text1"/>
                <w:sz w:val="16"/>
                <w:szCs w:val="16"/>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F28E79F" w14:textId="77777777" w:rsidR="0033454E" w:rsidRPr="000261F6" w:rsidRDefault="0033454E" w:rsidP="0033454E">
            <w:pPr>
              <w:widowControl/>
              <w:ind w:left="34"/>
              <w:jc w:val="center"/>
              <w:rPr>
                <w:rFonts w:eastAsia="Batang" w:cs="Arial"/>
                <w:iCs/>
                <w:color w:val="000000" w:themeColor="text1"/>
                <w:sz w:val="16"/>
                <w:szCs w:val="16"/>
                <w:lang w:bidi="ar-SA"/>
              </w:rPr>
            </w:pPr>
          </w:p>
        </w:tc>
      </w:tr>
      <w:tr w:rsidR="0033454E" w:rsidRPr="001B5342" w14:paraId="3B5CAE0A" w14:textId="77777777" w:rsidTr="0033454E">
        <w:trPr>
          <w:trHeight w:val="340"/>
        </w:trPr>
        <w:tc>
          <w:tcPr>
            <w:tcW w:w="9322" w:type="dxa"/>
            <w:gridSpan w:val="7"/>
            <w:tcBorders>
              <w:top w:val="single" w:sz="4" w:space="0" w:color="auto"/>
              <w:left w:val="single" w:sz="4" w:space="0" w:color="auto"/>
              <w:bottom w:val="single" w:sz="4" w:space="0" w:color="auto"/>
              <w:right w:val="single" w:sz="4" w:space="0" w:color="auto"/>
            </w:tcBorders>
            <w:shd w:val="clear" w:color="auto" w:fill="FFFF99"/>
            <w:vAlign w:val="center"/>
          </w:tcPr>
          <w:p w14:paraId="0BFB1B8D" w14:textId="77777777" w:rsidR="0033454E" w:rsidRPr="000261F6" w:rsidRDefault="0033454E" w:rsidP="0033454E">
            <w:pPr>
              <w:widowControl/>
              <w:ind w:left="34"/>
              <w:rPr>
                <w:rFonts w:eastAsia="Batang" w:cs="Arial"/>
                <w:iCs/>
                <w:color w:val="000000" w:themeColor="text1"/>
                <w:sz w:val="16"/>
                <w:szCs w:val="16"/>
                <w:lang w:bidi="ar-SA"/>
              </w:rPr>
            </w:pPr>
            <w:r w:rsidRPr="000261F6">
              <w:rPr>
                <w:rFonts w:eastAsia="Batang" w:cs="Arial"/>
                <w:i/>
                <w:iCs/>
                <w:color w:val="000000" w:themeColor="text1"/>
                <w:sz w:val="16"/>
                <w:szCs w:val="16"/>
                <w:lang w:val="en-AU" w:bidi="ar-SA"/>
              </w:rPr>
              <w:t>barnase cassette</w:t>
            </w:r>
          </w:p>
        </w:tc>
      </w:tr>
      <w:tr w:rsidR="0033454E" w:rsidRPr="001B5342" w14:paraId="250E84D7"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6D8D89DA"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3’nos</w:t>
            </w:r>
          </w:p>
        </w:tc>
        <w:tc>
          <w:tcPr>
            <w:tcW w:w="1276" w:type="dxa"/>
            <w:tcBorders>
              <w:top w:val="single" w:sz="4" w:space="0" w:color="auto"/>
              <w:left w:val="single" w:sz="4" w:space="0" w:color="auto"/>
              <w:bottom w:val="single" w:sz="4" w:space="0" w:color="auto"/>
              <w:right w:val="single" w:sz="4" w:space="0" w:color="auto"/>
            </w:tcBorders>
            <w:vAlign w:val="center"/>
          </w:tcPr>
          <w:p w14:paraId="69EE5053"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2659 - 2919</w:t>
            </w:r>
          </w:p>
        </w:tc>
        <w:tc>
          <w:tcPr>
            <w:tcW w:w="709" w:type="dxa"/>
            <w:tcBorders>
              <w:top w:val="single" w:sz="4" w:space="0" w:color="auto"/>
              <w:left w:val="single" w:sz="4" w:space="0" w:color="auto"/>
              <w:bottom w:val="single" w:sz="4" w:space="0" w:color="auto"/>
              <w:right w:val="single" w:sz="4" w:space="0" w:color="auto"/>
            </w:tcBorders>
            <w:vAlign w:val="center"/>
          </w:tcPr>
          <w:p w14:paraId="768C8226"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260</w:t>
            </w:r>
          </w:p>
        </w:tc>
        <w:tc>
          <w:tcPr>
            <w:tcW w:w="1559" w:type="dxa"/>
            <w:tcBorders>
              <w:top w:val="single" w:sz="4" w:space="0" w:color="auto"/>
              <w:left w:val="single" w:sz="4" w:space="0" w:color="auto"/>
              <w:bottom w:val="single" w:sz="4" w:space="0" w:color="auto"/>
              <w:right w:val="single" w:sz="4" w:space="0" w:color="auto"/>
            </w:tcBorders>
            <w:vAlign w:val="center"/>
          </w:tcPr>
          <w:p w14:paraId="0769F1A1"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066770B4" w14:textId="77777777" w:rsidR="0033454E" w:rsidRPr="00FB40F2" w:rsidRDefault="0033454E" w:rsidP="0033454E">
            <w:pPr>
              <w:widowControl/>
              <w:ind w:left="34"/>
              <w:jc w:val="center"/>
              <w:rPr>
                <w:rFonts w:eastAsia="Batang" w:cs="Arial"/>
                <w:iCs/>
                <w:color w:val="000000" w:themeColor="text1"/>
                <w:sz w:val="16"/>
                <w:szCs w:val="16"/>
                <w:lang w:bidi="ar-SA"/>
              </w:rPr>
            </w:pPr>
            <w:r w:rsidRPr="00FB40F2">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495B5A3E" w14:textId="77777777" w:rsidR="0033454E" w:rsidRPr="00FB40F2" w:rsidRDefault="0033454E" w:rsidP="00BD2330">
            <w:pPr>
              <w:pStyle w:val="ListParagraph"/>
              <w:widowControl/>
              <w:numPr>
                <w:ilvl w:val="0"/>
                <w:numId w:val="5"/>
              </w:numPr>
              <w:ind w:left="175" w:hanging="142"/>
              <w:rPr>
                <w:rFonts w:eastAsia="Batang" w:cs="Arial"/>
                <w:iCs/>
                <w:color w:val="000000" w:themeColor="text1"/>
                <w:sz w:val="16"/>
                <w:szCs w:val="16"/>
                <w:lang w:bidi="ar-SA"/>
              </w:rPr>
            </w:pPr>
            <w:r w:rsidRPr="00FB40F2">
              <w:rPr>
                <w:rFonts w:eastAsia="Batang" w:cs="Arial"/>
                <w:iCs/>
                <w:color w:val="000000" w:themeColor="text1"/>
                <w:sz w:val="16"/>
                <w:szCs w:val="16"/>
                <w:lang w:bidi="ar-SA"/>
              </w:rPr>
              <w:t xml:space="preserve">Terminator region from the </w:t>
            </w:r>
            <w:r w:rsidRPr="00FB40F2">
              <w:rPr>
                <w:rFonts w:eastAsia="Batang" w:cs="Arial"/>
                <w:i/>
                <w:iCs/>
                <w:color w:val="000000" w:themeColor="text1"/>
                <w:sz w:val="16"/>
                <w:szCs w:val="16"/>
                <w:lang w:bidi="ar-SA"/>
              </w:rPr>
              <w:t>nopaline synthase gene</w:t>
            </w:r>
            <w:r w:rsidRPr="00FB40F2">
              <w:rPr>
                <w:rFonts w:eastAsia="Batang" w:cs="Arial"/>
                <w:iCs/>
                <w:color w:val="000000" w:themeColor="text1"/>
                <w:sz w:val="16"/>
                <w:szCs w:val="16"/>
                <w:lang w:bidi="ar-SA"/>
              </w:rPr>
              <w:t xml:space="preserve"> </w:t>
            </w:r>
          </w:p>
          <w:p w14:paraId="50A1E6D9" w14:textId="77777777" w:rsidR="0033454E" w:rsidRPr="00FB40F2"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FB40F2">
              <w:rPr>
                <w:rFonts w:eastAsia="Batang" w:cs="Arial"/>
                <w:iCs/>
                <w:color w:val="000000" w:themeColor="text1"/>
                <w:sz w:val="16"/>
                <w:szCs w:val="16"/>
                <w:lang w:bidi="ar-SA"/>
              </w:rPr>
              <w:t xml:space="preserve">Directs polyadenylation of the </w:t>
            </w:r>
            <w:r w:rsidRPr="00FB40F2">
              <w:rPr>
                <w:rFonts w:eastAsia="Batang" w:cs="Arial"/>
                <w:i/>
                <w:iCs/>
                <w:color w:val="000000" w:themeColor="text1"/>
                <w:sz w:val="16"/>
                <w:szCs w:val="16"/>
                <w:lang w:bidi="ar-SA"/>
              </w:rPr>
              <w:t>barnase</w:t>
            </w:r>
            <w:r w:rsidRPr="00FB40F2">
              <w:rPr>
                <w:rFonts w:eastAsia="Batang" w:cs="Arial"/>
                <w:iCs/>
                <w:color w:val="000000" w:themeColor="text1"/>
                <w:sz w:val="16"/>
                <w:szCs w:val="16"/>
                <w:lang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6E21E301" w14:textId="77777777" w:rsidR="0033454E" w:rsidRPr="00FB40F2" w:rsidRDefault="0033454E" w:rsidP="0033454E">
            <w:pPr>
              <w:widowControl/>
              <w:ind w:left="34"/>
              <w:jc w:val="center"/>
              <w:rPr>
                <w:rFonts w:eastAsia="Batang" w:cs="Arial"/>
                <w:iCs/>
                <w:color w:val="000000" w:themeColor="text1"/>
                <w:sz w:val="16"/>
                <w:szCs w:val="16"/>
                <w:lang w:bidi="ar-SA"/>
              </w:rPr>
            </w:pPr>
            <w:r w:rsidRPr="00FB40F2">
              <w:rPr>
                <w:rFonts w:eastAsia="Batang" w:cs="Arial"/>
                <w:iCs/>
                <w:color w:val="000000" w:themeColor="text1"/>
                <w:sz w:val="16"/>
                <w:szCs w:val="16"/>
                <w:lang w:bidi="ar-SA"/>
              </w:rPr>
              <w:t xml:space="preserve">Depicker et al </w:t>
            </w:r>
            <w:r>
              <w:rPr>
                <w:rFonts w:eastAsia="Batang" w:cs="Arial"/>
                <w:iCs/>
                <w:noProof/>
                <w:color w:val="000000" w:themeColor="text1"/>
                <w:sz w:val="16"/>
                <w:szCs w:val="16"/>
                <w:lang w:bidi="ar-SA"/>
              </w:rPr>
              <w:t>(1982)</w:t>
            </w:r>
          </w:p>
        </w:tc>
      </w:tr>
      <w:tr w:rsidR="0033454E" w:rsidRPr="001B5342" w14:paraId="51877FA0"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390B001A"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760FB0AC"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2920 - 2935</w:t>
            </w:r>
          </w:p>
        </w:tc>
        <w:tc>
          <w:tcPr>
            <w:tcW w:w="709" w:type="dxa"/>
            <w:tcBorders>
              <w:top w:val="single" w:sz="4" w:space="0" w:color="auto"/>
              <w:left w:val="single" w:sz="4" w:space="0" w:color="auto"/>
              <w:bottom w:val="single" w:sz="4" w:space="0" w:color="auto"/>
              <w:right w:val="single" w:sz="4" w:space="0" w:color="auto"/>
            </w:tcBorders>
            <w:vAlign w:val="center"/>
          </w:tcPr>
          <w:p w14:paraId="52F99E69"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16</w:t>
            </w:r>
          </w:p>
        </w:tc>
        <w:tc>
          <w:tcPr>
            <w:tcW w:w="1559" w:type="dxa"/>
            <w:tcBorders>
              <w:top w:val="single" w:sz="4" w:space="0" w:color="auto"/>
              <w:left w:val="single" w:sz="4" w:space="0" w:color="auto"/>
              <w:bottom w:val="single" w:sz="4" w:space="0" w:color="auto"/>
              <w:right w:val="single" w:sz="4" w:space="0" w:color="auto"/>
            </w:tcBorders>
            <w:vAlign w:val="center"/>
          </w:tcPr>
          <w:p w14:paraId="4D3EF996" w14:textId="77777777" w:rsidR="0033454E" w:rsidRPr="00FB40F2"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03F9C85C" w14:textId="77777777" w:rsidR="0033454E" w:rsidRPr="00FB40F2"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2088353C" w14:textId="77777777" w:rsidR="0033454E" w:rsidRPr="00FB40F2" w:rsidRDefault="0033454E" w:rsidP="0033454E">
            <w:pPr>
              <w:widowControl/>
              <w:ind w:left="34"/>
              <w:rPr>
                <w:rFonts w:eastAsia="Batang" w:cs="Arial"/>
                <w:iCs/>
                <w:color w:val="000000" w:themeColor="text1"/>
                <w:sz w:val="16"/>
                <w:szCs w:val="16"/>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46F0109" w14:textId="77777777" w:rsidR="0033454E" w:rsidRPr="00FB40F2" w:rsidRDefault="0033454E" w:rsidP="0033454E">
            <w:pPr>
              <w:widowControl/>
              <w:ind w:left="34"/>
              <w:jc w:val="center"/>
              <w:rPr>
                <w:rFonts w:eastAsia="Batang" w:cs="Arial"/>
                <w:iCs/>
                <w:color w:val="000000" w:themeColor="text1"/>
                <w:sz w:val="16"/>
                <w:szCs w:val="16"/>
                <w:lang w:val="en-AU" w:bidi="ar-SA"/>
              </w:rPr>
            </w:pPr>
          </w:p>
        </w:tc>
      </w:tr>
      <w:tr w:rsidR="0033454E" w:rsidRPr="001B5342" w14:paraId="2C3099C2"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5637F04B"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3’ barnase</w:t>
            </w:r>
          </w:p>
        </w:tc>
        <w:tc>
          <w:tcPr>
            <w:tcW w:w="1276" w:type="dxa"/>
            <w:tcBorders>
              <w:top w:val="single" w:sz="4" w:space="0" w:color="auto"/>
              <w:left w:val="single" w:sz="4" w:space="0" w:color="auto"/>
              <w:bottom w:val="single" w:sz="4" w:space="0" w:color="auto"/>
              <w:right w:val="single" w:sz="4" w:space="0" w:color="auto"/>
            </w:tcBorders>
            <w:vAlign w:val="center"/>
          </w:tcPr>
          <w:p w14:paraId="3B0A5EEA"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2936 - 3033</w:t>
            </w:r>
          </w:p>
        </w:tc>
        <w:tc>
          <w:tcPr>
            <w:tcW w:w="709" w:type="dxa"/>
            <w:tcBorders>
              <w:top w:val="single" w:sz="4" w:space="0" w:color="auto"/>
              <w:left w:val="single" w:sz="4" w:space="0" w:color="auto"/>
              <w:bottom w:val="single" w:sz="4" w:space="0" w:color="auto"/>
              <w:right w:val="single" w:sz="4" w:space="0" w:color="auto"/>
            </w:tcBorders>
            <w:vAlign w:val="center"/>
          </w:tcPr>
          <w:p w14:paraId="17E7FF8B"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98</w:t>
            </w:r>
          </w:p>
        </w:tc>
        <w:tc>
          <w:tcPr>
            <w:tcW w:w="1559" w:type="dxa"/>
            <w:tcBorders>
              <w:top w:val="single" w:sz="4" w:space="0" w:color="auto"/>
              <w:left w:val="single" w:sz="4" w:space="0" w:color="auto"/>
              <w:bottom w:val="single" w:sz="4" w:space="0" w:color="auto"/>
              <w:right w:val="single" w:sz="4" w:space="0" w:color="auto"/>
            </w:tcBorders>
            <w:vAlign w:val="center"/>
          </w:tcPr>
          <w:p w14:paraId="3A432461"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Bacillus amyloliquefaciens</w:t>
            </w:r>
          </w:p>
        </w:tc>
        <w:tc>
          <w:tcPr>
            <w:tcW w:w="992" w:type="dxa"/>
            <w:tcBorders>
              <w:top w:val="single" w:sz="4" w:space="0" w:color="auto"/>
              <w:left w:val="single" w:sz="4" w:space="0" w:color="auto"/>
              <w:bottom w:val="single" w:sz="4" w:space="0" w:color="auto"/>
              <w:right w:val="single" w:sz="4" w:space="0" w:color="auto"/>
            </w:tcBorders>
            <w:vAlign w:val="center"/>
          </w:tcPr>
          <w:p w14:paraId="3CD76F83" w14:textId="77777777" w:rsidR="0033454E" w:rsidRPr="00FB40F2" w:rsidRDefault="0033454E" w:rsidP="0033454E">
            <w:pPr>
              <w:widowControl/>
              <w:ind w:left="34"/>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2FDDB900" w14:textId="77777777" w:rsidR="0033454E" w:rsidRPr="00FB40F2" w:rsidRDefault="0033454E" w:rsidP="00BD2330">
            <w:pPr>
              <w:pStyle w:val="ListParagraph"/>
              <w:widowControl/>
              <w:numPr>
                <w:ilvl w:val="0"/>
                <w:numId w:val="4"/>
              </w:numPr>
              <w:ind w:left="176" w:hanging="142"/>
              <w:rPr>
                <w:rFonts w:eastAsia="Batang" w:cs="Arial"/>
                <w:iCs/>
                <w:color w:val="000000" w:themeColor="text1"/>
                <w:sz w:val="16"/>
                <w:szCs w:val="16"/>
                <w:lang w:bidi="ar-SA"/>
              </w:rPr>
            </w:pPr>
            <w:r w:rsidRPr="00FB40F2">
              <w:rPr>
                <w:rFonts w:eastAsia="Batang" w:cs="Arial"/>
                <w:iCs/>
                <w:color w:val="000000" w:themeColor="text1"/>
                <w:sz w:val="16"/>
                <w:szCs w:val="16"/>
                <w:lang w:bidi="ar-SA"/>
              </w:rPr>
              <w:t xml:space="preserve">Terminator region from the </w:t>
            </w:r>
            <w:r w:rsidRPr="00FB40F2">
              <w:rPr>
                <w:rFonts w:eastAsia="Batang" w:cs="Arial"/>
                <w:i/>
                <w:iCs/>
                <w:color w:val="000000" w:themeColor="text1"/>
                <w:sz w:val="16"/>
                <w:szCs w:val="16"/>
                <w:lang w:bidi="ar-SA"/>
              </w:rPr>
              <w:t>barnase gene</w:t>
            </w:r>
            <w:r w:rsidRPr="00FB40F2">
              <w:rPr>
                <w:rFonts w:eastAsia="Batang" w:cs="Arial"/>
                <w:iCs/>
                <w:color w:val="000000" w:themeColor="text1"/>
                <w:sz w:val="16"/>
                <w:szCs w:val="16"/>
                <w:lang w:bidi="ar-SA"/>
              </w:rPr>
              <w:t xml:space="preserve"> </w:t>
            </w:r>
          </w:p>
          <w:p w14:paraId="680F089E" w14:textId="77777777" w:rsidR="0033454E" w:rsidRPr="00FB40F2" w:rsidRDefault="0033454E" w:rsidP="00BD2330">
            <w:pPr>
              <w:pStyle w:val="ListParagraph"/>
              <w:widowControl/>
              <w:numPr>
                <w:ilvl w:val="0"/>
                <w:numId w:val="4"/>
              </w:numPr>
              <w:ind w:left="176" w:hanging="142"/>
              <w:rPr>
                <w:rFonts w:eastAsia="Batang" w:cs="Arial"/>
                <w:iCs/>
                <w:color w:val="000000" w:themeColor="text1"/>
                <w:sz w:val="16"/>
                <w:szCs w:val="16"/>
                <w:lang w:val="en-AU" w:bidi="ar-SA"/>
              </w:rPr>
            </w:pPr>
            <w:r w:rsidRPr="00FB40F2">
              <w:rPr>
                <w:rFonts w:eastAsia="Batang" w:cs="Arial"/>
                <w:iCs/>
                <w:color w:val="000000" w:themeColor="text1"/>
                <w:sz w:val="16"/>
                <w:szCs w:val="16"/>
                <w:lang w:bidi="ar-SA"/>
              </w:rPr>
              <w:t xml:space="preserve">Directs polyadenylation of the </w:t>
            </w:r>
            <w:r w:rsidRPr="00FB40F2">
              <w:rPr>
                <w:rFonts w:eastAsia="Batang" w:cs="Arial"/>
                <w:i/>
                <w:iCs/>
                <w:color w:val="000000" w:themeColor="text1"/>
                <w:sz w:val="16"/>
                <w:szCs w:val="16"/>
                <w:lang w:bidi="ar-SA"/>
              </w:rPr>
              <w:t>barnase</w:t>
            </w:r>
            <w:r w:rsidRPr="00FB40F2">
              <w:rPr>
                <w:rFonts w:eastAsia="Batang" w:cs="Arial"/>
                <w:iCs/>
                <w:color w:val="000000" w:themeColor="text1"/>
                <w:sz w:val="16"/>
                <w:szCs w:val="16"/>
                <w:lang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23CA8A83" w14:textId="77777777" w:rsidR="0033454E" w:rsidRPr="0064180B" w:rsidRDefault="0033454E" w:rsidP="0033454E">
            <w:pPr>
              <w:widowControl/>
              <w:ind w:left="34"/>
              <w:jc w:val="center"/>
              <w:rPr>
                <w:rFonts w:eastAsia="Batang" w:cs="Arial"/>
                <w:iCs/>
                <w:color w:val="000000" w:themeColor="text1"/>
                <w:sz w:val="16"/>
                <w:szCs w:val="16"/>
                <w:lang w:val="en-AU" w:bidi="ar-SA"/>
              </w:rPr>
            </w:pPr>
            <w:r w:rsidRPr="0064180B">
              <w:rPr>
                <w:rFonts w:eastAsia="Batang" w:cs="Arial"/>
                <w:iCs/>
                <w:color w:val="000000" w:themeColor="text1"/>
                <w:sz w:val="16"/>
                <w:szCs w:val="16"/>
                <w:lang w:val="en-AU" w:bidi="ar-SA"/>
              </w:rPr>
              <w:t xml:space="preserve">Hartley </w:t>
            </w:r>
            <w:r>
              <w:rPr>
                <w:rFonts w:eastAsia="Batang" w:cs="Arial"/>
                <w:iCs/>
                <w:noProof/>
                <w:color w:val="000000" w:themeColor="text1"/>
                <w:sz w:val="16"/>
                <w:szCs w:val="16"/>
                <w:lang w:val="en-AU" w:bidi="ar-SA"/>
              </w:rPr>
              <w:t>(1988)</w:t>
            </w:r>
          </w:p>
        </w:tc>
      </w:tr>
      <w:tr w:rsidR="0033454E" w:rsidRPr="001B5342" w14:paraId="2AD5C215"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5F877CF8"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barnase</w:t>
            </w:r>
          </w:p>
        </w:tc>
        <w:tc>
          <w:tcPr>
            <w:tcW w:w="1276" w:type="dxa"/>
            <w:tcBorders>
              <w:top w:val="single" w:sz="4" w:space="0" w:color="auto"/>
              <w:left w:val="single" w:sz="4" w:space="0" w:color="auto"/>
              <w:bottom w:val="single" w:sz="4" w:space="0" w:color="auto"/>
              <w:right w:val="single" w:sz="4" w:space="0" w:color="auto"/>
            </w:tcBorders>
            <w:vAlign w:val="center"/>
          </w:tcPr>
          <w:p w14:paraId="6BD21999"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3034 - 3369</w:t>
            </w:r>
          </w:p>
        </w:tc>
        <w:tc>
          <w:tcPr>
            <w:tcW w:w="709" w:type="dxa"/>
            <w:tcBorders>
              <w:top w:val="single" w:sz="4" w:space="0" w:color="auto"/>
              <w:left w:val="single" w:sz="4" w:space="0" w:color="auto"/>
              <w:bottom w:val="single" w:sz="4" w:space="0" w:color="auto"/>
              <w:right w:val="single" w:sz="4" w:space="0" w:color="auto"/>
            </w:tcBorders>
            <w:vAlign w:val="center"/>
          </w:tcPr>
          <w:p w14:paraId="762CE4CF"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335</w:t>
            </w:r>
          </w:p>
        </w:tc>
        <w:tc>
          <w:tcPr>
            <w:tcW w:w="1559" w:type="dxa"/>
            <w:tcBorders>
              <w:top w:val="single" w:sz="4" w:space="0" w:color="auto"/>
              <w:left w:val="single" w:sz="4" w:space="0" w:color="auto"/>
              <w:bottom w:val="single" w:sz="4" w:space="0" w:color="auto"/>
              <w:right w:val="single" w:sz="4" w:space="0" w:color="auto"/>
            </w:tcBorders>
            <w:vAlign w:val="center"/>
          </w:tcPr>
          <w:p w14:paraId="3352DE7F"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Bacillus amyloliquefaciens</w:t>
            </w:r>
          </w:p>
        </w:tc>
        <w:tc>
          <w:tcPr>
            <w:tcW w:w="992" w:type="dxa"/>
            <w:tcBorders>
              <w:top w:val="single" w:sz="4" w:space="0" w:color="auto"/>
              <w:left w:val="single" w:sz="4" w:space="0" w:color="auto"/>
              <w:bottom w:val="single" w:sz="4" w:space="0" w:color="auto"/>
              <w:right w:val="single" w:sz="4" w:space="0" w:color="auto"/>
            </w:tcBorders>
            <w:vAlign w:val="center"/>
          </w:tcPr>
          <w:p w14:paraId="0D2E8D60" w14:textId="77777777" w:rsidR="0033454E" w:rsidRPr="00FB40F2" w:rsidRDefault="0033454E" w:rsidP="0033454E">
            <w:pPr>
              <w:widowControl/>
              <w:ind w:left="34"/>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4DF24A2E" w14:textId="77777777" w:rsidR="0033454E" w:rsidRPr="00FB40F2"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Pr>
                <w:rFonts w:eastAsia="Batang" w:cs="Arial"/>
                <w:iCs/>
                <w:color w:val="000000" w:themeColor="text1"/>
                <w:sz w:val="16"/>
                <w:szCs w:val="16"/>
                <w:lang w:val="en-AU" w:bidi="ar-SA"/>
              </w:rPr>
              <w:t>C</w:t>
            </w:r>
            <w:r w:rsidRPr="00FB40F2">
              <w:rPr>
                <w:rFonts w:eastAsia="Batang" w:cs="Arial"/>
                <w:iCs/>
                <w:color w:val="000000" w:themeColor="text1"/>
                <w:sz w:val="16"/>
                <w:szCs w:val="16"/>
                <w:lang w:val="en-AU" w:bidi="ar-SA"/>
              </w:rPr>
              <w:t xml:space="preserve">oding sequence of the </w:t>
            </w:r>
            <w:r w:rsidRPr="00FB40F2">
              <w:rPr>
                <w:rFonts w:eastAsia="Batang" w:cs="Arial"/>
                <w:i/>
                <w:iCs/>
                <w:color w:val="000000" w:themeColor="text1"/>
                <w:sz w:val="16"/>
                <w:szCs w:val="16"/>
                <w:lang w:val="en-AU" w:bidi="ar-SA"/>
              </w:rPr>
              <w:t>barnase</w:t>
            </w:r>
            <w:r w:rsidRPr="00FB40F2">
              <w:rPr>
                <w:rFonts w:eastAsia="Batang" w:cs="Arial"/>
                <w:iCs/>
                <w:color w:val="000000" w:themeColor="text1"/>
                <w:sz w:val="16"/>
                <w:szCs w:val="16"/>
                <w:lang w:val="en-AU"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6314AA4A" w14:textId="77777777" w:rsidR="0033454E" w:rsidRPr="00FB40F2" w:rsidRDefault="0033454E" w:rsidP="0033454E">
            <w:pPr>
              <w:widowControl/>
              <w:ind w:left="34"/>
              <w:jc w:val="center"/>
              <w:rPr>
                <w:rFonts w:eastAsia="Batang" w:cs="Arial"/>
                <w:iCs/>
                <w:color w:val="000000" w:themeColor="text1"/>
                <w:sz w:val="16"/>
                <w:szCs w:val="16"/>
                <w:lang w:val="en-AU" w:bidi="ar-SA"/>
              </w:rPr>
            </w:pPr>
            <w:r w:rsidRPr="0064180B">
              <w:rPr>
                <w:rFonts w:eastAsia="Batang" w:cs="Arial"/>
                <w:iCs/>
                <w:color w:val="000000" w:themeColor="text1"/>
                <w:sz w:val="16"/>
                <w:szCs w:val="16"/>
                <w:lang w:val="en-AU" w:bidi="ar-SA"/>
              </w:rPr>
              <w:t xml:space="preserve">Hartley </w:t>
            </w:r>
            <w:r>
              <w:rPr>
                <w:rFonts w:eastAsia="Batang" w:cs="Arial"/>
                <w:iCs/>
                <w:noProof/>
                <w:color w:val="000000" w:themeColor="text1"/>
                <w:sz w:val="16"/>
                <w:szCs w:val="16"/>
                <w:lang w:val="en-AU" w:bidi="ar-SA"/>
              </w:rPr>
              <w:t>(1988)</w:t>
            </w:r>
          </w:p>
        </w:tc>
      </w:tr>
      <w:tr w:rsidR="0033454E" w:rsidRPr="001B5342" w14:paraId="3F921EB2"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65837A5D"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7FFA40B6"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3370 - 3371</w:t>
            </w:r>
          </w:p>
        </w:tc>
        <w:tc>
          <w:tcPr>
            <w:tcW w:w="709" w:type="dxa"/>
            <w:tcBorders>
              <w:top w:val="single" w:sz="4" w:space="0" w:color="auto"/>
              <w:left w:val="single" w:sz="4" w:space="0" w:color="auto"/>
              <w:bottom w:val="single" w:sz="4" w:space="0" w:color="auto"/>
              <w:right w:val="single" w:sz="4" w:space="0" w:color="auto"/>
            </w:tcBorders>
            <w:vAlign w:val="center"/>
          </w:tcPr>
          <w:p w14:paraId="3E917AC8"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2</w:t>
            </w:r>
          </w:p>
        </w:tc>
        <w:tc>
          <w:tcPr>
            <w:tcW w:w="1559" w:type="dxa"/>
            <w:tcBorders>
              <w:top w:val="single" w:sz="4" w:space="0" w:color="auto"/>
              <w:left w:val="single" w:sz="4" w:space="0" w:color="auto"/>
              <w:bottom w:val="single" w:sz="4" w:space="0" w:color="auto"/>
              <w:right w:val="single" w:sz="4" w:space="0" w:color="auto"/>
            </w:tcBorders>
            <w:vAlign w:val="center"/>
          </w:tcPr>
          <w:p w14:paraId="6E201D73" w14:textId="77777777" w:rsidR="0033454E" w:rsidRPr="00FB40F2"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6116B9F7" w14:textId="77777777" w:rsidR="0033454E" w:rsidRPr="00FB40F2"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3FE915DE" w14:textId="77777777" w:rsidR="0033454E" w:rsidRPr="00FB40F2" w:rsidRDefault="0033454E" w:rsidP="0033454E">
            <w:pPr>
              <w:pStyle w:val="ListParagraph"/>
              <w:widowControl/>
              <w:ind w:left="175"/>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6BF8B705" w14:textId="77777777" w:rsidR="0033454E" w:rsidRPr="00FB40F2" w:rsidRDefault="0033454E" w:rsidP="0033454E">
            <w:pPr>
              <w:widowControl/>
              <w:ind w:left="34"/>
              <w:jc w:val="center"/>
              <w:rPr>
                <w:rFonts w:eastAsia="Batang" w:cs="Arial"/>
                <w:iCs/>
                <w:color w:val="000000" w:themeColor="text1"/>
                <w:sz w:val="16"/>
                <w:szCs w:val="16"/>
                <w:lang w:val="en-AU" w:bidi="ar-SA"/>
              </w:rPr>
            </w:pPr>
          </w:p>
        </w:tc>
      </w:tr>
      <w:tr w:rsidR="0033454E" w:rsidRPr="001B5342" w14:paraId="7047DB51"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63B07172"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ta29</w:t>
            </w:r>
          </w:p>
        </w:tc>
        <w:tc>
          <w:tcPr>
            <w:tcW w:w="1276" w:type="dxa"/>
            <w:tcBorders>
              <w:top w:val="single" w:sz="4" w:space="0" w:color="auto"/>
              <w:left w:val="single" w:sz="4" w:space="0" w:color="auto"/>
              <w:bottom w:val="single" w:sz="4" w:space="0" w:color="auto"/>
              <w:right w:val="single" w:sz="4" w:space="0" w:color="auto"/>
            </w:tcBorders>
            <w:vAlign w:val="center"/>
          </w:tcPr>
          <w:p w14:paraId="02FD1A01"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3372 - 4879</w:t>
            </w:r>
          </w:p>
        </w:tc>
        <w:tc>
          <w:tcPr>
            <w:tcW w:w="709" w:type="dxa"/>
            <w:tcBorders>
              <w:top w:val="single" w:sz="4" w:space="0" w:color="auto"/>
              <w:left w:val="single" w:sz="4" w:space="0" w:color="auto"/>
              <w:bottom w:val="single" w:sz="4" w:space="0" w:color="auto"/>
              <w:right w:val="single" w:sz="4" w:space="0" w:color="auto"/>
            </w:tcBorders>
            <w:vAlign w:val="center"/>
          </w:tcPr>
          <w:p w14:paraId="42DB47F1" w14:textId="77777777" w:rsidR="0033454E" w:rsidRPr="00FB40F2" w:rsidRDefault="0033454E" w:rsidP="0033454E">
            <w:pPr>
              <w:widowControl/>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1508</w:t>
            </w:r>
          </w:p>
        </w:tc>
        <w:tc>
          <w:tcPr>
            <w:tcW w:w="1559" w:type="dxa"/>
            <w:tcBorders>
              <w:top w:val="single" w:sz="4" w:space="0" w:color="auto"/>
              <w:left w:val="single" w:sz="4" w:space="0" w:color="auto"/>
              <w:bottom w:val="single" w:sz="4" w:space="0" w:color="auto"/>
              <w:right w:val="single" w:sz="4" w:space="0" w:color="auto"/>
            </w:tcBorders>
            <w:vAlign w:val="center"/>
          </w:tcPr>
          <w:p w14:paraId="7163CF80" w14:textId="77777777" w:rsidR="0033454E" w:rsidRPr="00FB40F2" w:rsidRDefault="0033454E" w:rsidP="0033454E">
            <w:pPr>
              <w:widowControl/>
              <w:jc w:val="center"/>
              <w:rPr>
                <w:rFonts w:eastAsia="Batang" w:cs="Arial"/>
                <w:i/>
                <w:iCs/>
                <w:color w:val="000000" w:themeColor="text1"/>
                <w:sz w:val="16"/>
                <w:szCs w:val="16"/>
                <w:lang w:val="en-AU" w:bidi="ar-SA"/>
              </w:rPr>
            </w:pPr>
            <w:r w:rsidRPr="00FB40F2">
              <w:rPr>
                <w:rFonts w:eastAsia="Batang" w:cs="Arial"/>
                <w:i/>
                <w:iCs/>
                <w:color w:val="000000" w:themeColor="text1"/>
                <w:sz w:val="16"/>
                <w:szCs w:val="16"/>
                <w:lang w:val="en-AU" w:bidi="ar-SA"/>
              </w:rPr>
              <w:t>Nicotiana tabacum</w:t>
            </w:r>
          </w:p>
        </w:tc>
        <w:tc>
          <w:tcPr>
            <w:tcW w:w="992" w:type="dxa"/>
            <w:tcBorders>
              <w:top w:val="single" w:sz="4" w:space="0" w:color="auto"/>
              <w:left w:val="single" w:sz="4" w:space="0" w:color="auto"/>
              <w:bottom w:val="single" w:sz="4" w:space="0" w:color="auto"/>
              <w:right w:val="single" w:sz="4" w:space="0" w:color="auto"/>
            </w:tcBorders>
            <w:vAlign w:val="center"/>
          </w:tcPr>
          <w:p w14:paraId="1D1C6860" w14:textId="77777777" w:rsidR="0033454E" w:rsidRPr="00FB40F2" w:rsidRDefault="0033454E" w:rsidP="0033454E">
            <w:pPr>
              <w:widowControl/>
              <w:ind w:left="34"/>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anti-clockwise</w:t>
            </w:r>
          </w:p>
        </w:tc>
        <w:tc>
          <w:tcPr>
            <w:tcW w:w="2410" w:type="dxa"/>
            <w:tcBorders>
              <w:top w:val="single" w:sz="4" w:space="0" w:color="auto"/>
              <w:left w:val="single" w:sz="4" w:space="0" w:color="auto"/>
              <w:bottom w:val="single" w:sz="4" w:space="0" w:color="auto"/>
              <w:right w:val="single" w:sz="4" w:space="0" w:color="auto"/>
            </w:tcBorders>
            <w:vAlign w:val="center"/>
          </w:tcPr>
          <w:p w14:paraId="65DCDC8D" w14:textId="77777777" w:rsidR="0033454E" w:rsidRPr="00FB40F2"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 xml:space="preserve">ta29 promoter </w:t>
            </w:r>
          </w:p>
          <w:p w14:paraId="6505F778" w14:textId="77777777" w:rsidR="0033454E" w:rsidRPr="00FB40F2"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 xml:space="preserve">Targets expression  of </w:t>
            </w:r>
            <w:r w:rsidRPr="00FB40F2">
              <w:rPr>
                <w:rFonts w:eastAsia="Batang" w:cs="Arial"/>
                <w:i/>
                <w:iCs/>
                <w:color w:val="000000" w:themeColor="text1"/>
                <w:sz w:val="16"/>
                <w:szCs w:val="16"/>
                <w:lang w:val="en-AU" w:bidi="ar-SA"/>
              </w:rPr>
              <w:t xml:space="preserve">barnase </w:t>
            </w:r>
            <w:r w:rsidRPr="00FB40F2">
              <w:rPr>
                <w:rFonts w:eastAsia="Batang" w:cs="Arial"/>
                <w:iCs/>
                <w:color w:val="000000" w:themeColor="text1"/>
                <w:sz w:val="16"/>
                <w:szCs w:val="16"/>
                <w:lang w:val="en-AU" w:bidi="ar-SA"/>
              </w:rPr>
              <w:t>to the tapetum</w:t>
            </w:r>
          </w:p>
          <w:p w14:paraId="30F3A62A" w14:textId="77777777" w:rsidR="0033454E" w:rsidRPr="00FB40F2"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 xml:space="preserve">Directs transcription of the </w:t>
            </w:r>
            <w:r w:rsidRPr="00FB40F2">
              <w:rPr>
                <w:rFonts w:eastAsia="Batang" w:cs="Arial"/>
                <w:i/>
                <w:iCs/>
                <w:color w:val="000000" w:themeColor="text1"/>
                <w:sz w:val="16"/>
                <w:szCs w:val="16"/>
                <w:lang w:val="en-AU" w:bidi="ar-SA"/>
              </w:rPr>
              <w:t>barnase</w:t>
            </w:r>
            <w:r>
              <w:rPr>
                <w:rFonts w:eastAsia="Batang" w:cs="Arial"/>
                <w:i/>
                <w:iCs/>
                <w:color w:val="000000" w:themeColor="text1"/>
                <w:sz w:val="16"/>
                <w:szCs w:val="16"/>
                <w:lang w:val="en-AU" w:bidi="ar-SA"/>
              </w:rPr>
              <w:t xml:space="preserve"> </w:t>
            </w:r>
            <w:r w:rsidRPr="00FB40F2">
              <w:rPr>
                <w:rFonts w:eastAsia="Batang" w:cs="Arial"/>
                <w:iCs/>
                <w:color w:val="000000" w:themeColor="text1"/>
                <w:sz w:val="16"/>
                <w:szCs w:val="16"/>
                <w:lang w:val="en-AU" w:bidi="ar-SA"/>
              </w:rPr>
              <w:t>gene</w:t>
            </w:r>
          </w:p>
        </w:tc>
        <w:tc>
          <w:tcPr>
            <w:tcW w:w="1134" w:type="dxa"/>
            <w:tcBorders>
              <w:top w:val="single" w:sz="4" w:space="0" w:color="auto"/>
              <w:left w:val="single" w:sz="4" w:space="0" w:color="auto"/>
              <w:bottom w:val="single" w:sz="4" w:space="0" w:color="auto"/>
              <w:right w:val="single" w:sz="4" w:space="0" w:color="auto"/>
            </w:tcBorders>
            <w:vAlign w:val="center"/>
          </w:tcPr>
          <w:p w14:paraId="0E3A5E7F" w14:textId="77777777" w:rsidR="0033454E" w:rsidRPr="00FB40F2" w:rsidRDefault="0033454E" w:rsidP="0033454E">
            <w:pPr>
              <w:widowControl/>
              <w:ind w:left="34"/>
              <w:jc w:val="center"/>
              <w:rPr>
                <w:rFonts w:eastAsia="Batang" w:cs="Arial"/>
                <w:iCs/>
                <w:color w:val="000000" w:themeColor="text1"/>
                <w:sz w:val="16"/>
                <w:szCs w:val="16"/>
                <w:lang w:val="en-AU" w:bidi="ar-SA"/>
              </w:rPr>
            </w:pPr>
            <w:r w:rsidRPr="00FB40F2">
              <w:rPr>
                <w:rFonts w:eastAsia="Batang" w:cs="Arial"/>
                <w:iCs/>
                <w:color w:val="000000" w:themeColor="text1"/>
                <w:sz w:val="16"/>
                <w:szCs w:val="16"/>
                <w:lang w:val="en-AU" w:bidi="ar-SA"/>
              </w:rPr>
              <w:t>Seurink et al (1990)</w:t>
            </w:r>
          </w:p>
        </w:tc>
      </w:tr>
      <w:tr w:rsidR="0033454E" w:rsidRPr="001B5342" w14:paraId="2902096D"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0FB5A093" w14:textId="77777777" w:rsidR="0033454E" w:rsidRPr="000D3C9E" w:rsidRDefault="0033454E" w:rsidP="0033454E">
            <w:pPr>
              <w:widowControl/>
              <w:jc w:val="center"/>
              <w:rPr>
                <w:rFonts w:eastAsia="Batang" w:cs="Arial"/>
                <w:iCs/>
                <w:color w:val="000000" w:themeColor="text1"/>
                <w:sz w:val="16"/>
                <w:szCs w:val="16"/>
                <w:lang w:val="en-AU" w:bidi="ar-SA"/>
              </w:rPr>
            </w:pPr>
            <w:r w:rsidRPr="000D3C9E">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45DDDB54" w14:textId="77777777" w:rsidR="0033454E" w:rsidRPr="000D3C9E" w:rsidRDefault="0033454E" w:rsidP="0033454E">
            <w:pPr>
              <w:widowControl/>
              <w:jc w:val="center"/>
              <w:rPr>
                <w:rFonts w:eastAsia="Batang" w:cs="Arial"/>
                <w:iCs/>
                <w:color w:val="000000" w:themeColor="text1"/>
                <w:sz w:val="16"/>
                <w:szCs w:val="16"/>
                <w:lang w:val="en-AU" w:bidi="ar-SA"/>
              </w:rPr>
            </w:pPr>
            <w:r w:rsidRPr="000D3C9E">
              <w:rPr>
                <w:rFonts w:eastAsia="Batang" w:cs="Arial"/>
                <w:iCs/>
                <w:color w:val="000000" w:themeColor="text1"/>
                <w:sz w:val="16"/>
                <w:szCs w:val="16"/>
                <w:lang w:val="en-AU" w:bidi="ar-SA"/>
              </w:rPr>
              <w:t>4880 - 4920</w:t>
            </w:r>
          </w:p>
        </w:tc>
        <w:tc>
          <w:tcPr>
            <w:tcW w:w="709" w:type="dxa"/>
            <w:tcBorders>
              <w:top w:val="single" w:sz="4" w:space="0" w:color="auto"/>
              <w:left w:val="single" w:sz="4" w:space="0" w:color="auto"/>
              <w:bottom w:val="single" w:sz="4" w:space="0" w:color="auto"/>
              <w:right w:val="single" w:sz="4" w:space="0" w:color="auto"/>
            </w:tcBorders>
            <w:vAlign w:val="center"/>
          </w:tcPr>
          <w:p w14:paraId="6B33FAA2" w14:textId="77777777" w:rsidR="0033454E" w:rsidRPr="000D3C9E" w:rsidRDefault="0033454E" w:rsidP="0033454E">
            <w:pPr>
              <w:widowControl/>
              <w:jc w:val="center"/>
              <w:rPr>
                <w:rFonts w:eastAsia="Batang" w:cs="Arial"/>
                <w:iCs/>
                <w:color w:val="000000" w:themeColor="text1"/>
                <w:sz w:val="16"/>
                <w:szCs w:val="16"/>
                <w:lang w:val="en-AU" w:bidi="ar-SA"/>
              </w:rPr>
            </w:pPr>
            <w:r w:rsidRPr="000D3C9E">
              <w:rPr>
                <w:rFonts w:eastAsia="Batang" w:cs="Arial"/>
                <w:iCs/>
                <w:color w:val="000000" w:themeColor="text1"/>
                <w:sz w:val="16"/>
                <w:szCs w:val="16"/>
                <w:lang w:val="en-AU" w:bidi="ar-SA"/>
              </w:rPr>
              <w:t>41</w:t>
            </w:r>
          </w:p>
        </w:tc>
        <w:tc>
          <w:tcPr>
            <w:tcW w:w="1559" w:type="dxa"/>
            <w:tcBorders>
              <w:top w:val="single" w:sz="4" w:space="0" w:color="auto"/>
              <w:left w:val="single" w:sz="4" w:space="0" w:color="auto"/>
              <w:bottom w:val="single" w:sz="4" w:space="0" w:color="auto"/>
              <w:right w:val="single" w:sz="4" w:space="0" w:color="auto"/>
            </w:tcBorders>
            <w:vAlign w:val="center"/>
          </w:tcPr>
          <w:p w14:paraId="4422FFE1" w14:textId="77777777" w:rsidR="0033454E" w:rsidRPr="000D3C9E"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tcPr>
          <w:p w14:paraId="0DBF2B4A" w14:textId="77777777" w:rsidR="0033454E" w:rsidRPr="000D3C9E" w:rsidRDefault="0033454E" w:rsidP="0033454E">
            <w:pPr>
              <w:widowControl/>
              <w:ind w:left="34"/>
              <w:jc w:val="center"/>
              <w:rPr>
                <w:rFonts w:eastAsia="Batang" w:cs="Arial"/>
                <w:iCs/>
                <w:color w:val="000000" w:themeColor="text1"/>
                <w:sz w:val="16"/>
                <w:szCs w:val="16"/>
                <w:lang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79EC7378" w14:textId="77777777" w:rsidR="0033454E" w:rsidRPr="000D3C9E" w:rsidRDefault="0033454E" w:rsidP="0033454E">
            <w:pPr>
              <w:pStyle w:val="ListParagraph"/>
              <w:widowControl/>
              <w:ind w:left="175"/>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7F16CEA2" w14:textId="77777777" w:rsidR="0033454E" w:rsidRPr="000D3C9E" w:rsidRDefault="0033454E" w:rsidP="0033454E">
            <w:pPr>
              <w:widowControl/>
              <w:ind w:left="34"/>
              <w:jc w:val="center"/>
              <w:rPr>
                <w:rFonts w:eastAsia="Batang" w:cs="Arial"/>
                <w:iCs/>
                <w:color w:val="000000" w:themeColor="text1"/>
                <w:sz w:val="16"/>
                <w:szCs w:val="16"/>
                <w:lang w:bidi="ar-SA"/>
              </w:rPr>
            </w:pPr>
          </w:p>
        </w:tc>
      </w:tr>
      <w:tr w:rsidR="0033454E" w:rsidRPr="001B5342" w14:paraId="2F553362" w14:textId="77777777" w:rsidTr="0033454E">
        <w:trPr>
          <w:trHeight w:val="340"/>
        </w:trPr>
        <w:tc>
          <w:tcPr>
            <w:tcW w:w="9322" w:type="dxa"/>
            <w:gridSpan w:val="7"/>
            <w:tcBorders>
              <w:top w:val="single" w:sz="4" w:space="0" w:color="auto"/>
              <w:left w:val="single" w:sz="4" w:space="0" w:color="auto"/>
              <w:bottom w:val="single" w:sz="4" w:space="0" w:color="auto"/>
              <w:right w:val="single" w:sz="4" w:space="0" w:color="auto"/>
            </w:tcBorders>
            <w:shd w:val="clear" w:color="auto" w:fill="CC99FF"/>
            <w:vAlign w:val="center"/>
          </w:tcPr>
          <w:p w14:paraId="4E3055B7" w14:textId="77777777" w:rsidR="0033454E" w:rsidRPr="000D3C9E" w:rsidRDefault="0033454E" w:rsidP="0033454E">
            <w:pPr>
              <w:widowControl/>
              <w:ind w:left="34"/>
              <w:rPr>
                <w:rFonts w:eastAsia="Batang" w:cs="Arial"/>
                <w:b/>
                <w:iCs/>
                <w:color w:val="000000" w:themeColor="text1"/>
                <w:sz w:val="16"/>
                <w:szCs w:val="16"/>
                <w:lang w:bidi="ar-SA"/>
              </w:rPr>
            </w:pPr>
            <w:r w:rsidRPr="000D3C9E">
              <w:rPr>
                <w:rFonts w:eastAsia="Batang" w:cs="Arial"/>
                <w:b/>
                <w:i/>
                <w:iCs/>
                <w:color w:val="000000" w:themeColor="text1"/>
                <w:sz w:val="16"/>
                <w:szCs w:val="16"/>
                <w:lang w:bidi="ar-SA"/>
              </w:rPr>
              <w:t xml:space="preserve">barstar </w:t>
            </w:r>
            <w:r w:rsidRPr="000D3C9E">
              <w:rPr>
                <w:rFonts w:eastAsia="Batang" w:cs="Arial"/>
                <w:b/>
                <w:iCs/>
                <w:color w:val="000000" w:themeColor="text1"/>
                <w:sz w:val="16"/>
                <w:szCs w:val="16"/>
                <w:lang w:bidi="ar-SA"/>
              </w:rPr>
              <w:t>cassette</w:t>
            </w:r>
          </w:p>
        </w:tc>
      </w:tr>
      <w:tr w:rsidR="0033454E" w:rsidRPr="001B5342" w14:paraId="5A992076" w14:textId="77777777" w:rsidTr="0033454E">
        <w:tc>
          <w:tcPr>
            <w:tcW w:w="1242" w:type="dxa"/>
            <w:tcBorders>
              <w:top w:val="single" w:sz="4" w:space="0" w:color="auto"/>
              <w:left w:val="single" w:sz="4" w:space="0" w:color="auto"/>
              <w:bottom w:val="single" w:sz="4" w:space="0" w:color="auto"/>
              <w:right w:val="single" w:sz="4" w:space="0" w:color="auto"/>
            </w:tcBorders>
            <w:vAlign w:val="center"/>
          </w:tcPr>
          <w:p w14:paraId="72A111A3" w14:textId="77777777" w:rsidR="0033454E" w:rsidRPr="00BA7B6C" w:rsidRDefault="0033454E" w:rsidP="0033454E">
            <w:pPr>
              <w:widowControl/>
              <w:jc w:val="center"/>
              <w:rPr>
                <w:rFonts w:eastAsia="Batang" w:cs="Arial"/>
                <w:i/>
                <w:iCs/>
                <w:color w:val="000000" w:themeColor="text1"/>
                <w:sz w:val="16"/>
                <w:szCs w:val="16"/>
                <w:lang w:val="en-AU" w:bidi="ar-SA"/>
              </w:rPr>
            </w:pPr>
            <w:r w:rsidRPr="00BA7B6C">
              <w:rPr>
                <w:rFonts w:eastAsia="Batang" w:cs="Arial"/>
                <w:i/>
                <w:iCs/>
                <w:color w:val="000000" w:themeColor="text1"/>
                <w:sz w:val="16"/>
                <w:szCs w:val="16"/>
                <w:lang w:val="en-AU" w:bidi="ar-SA"/>
              </w:rPr>
              <w:t>nos</w:t>
            </w:r>
          </w:p>
        </w:tc>
        <w:tc>
          <w:tcPr>
            <w:tcW w:w="1276" w:type="dxa"/>
            <w:tcBorders>
              <w:top w:val="single" w:sz="4" w:space="0" w:color="auto"/>
              <w:left w:val="single" w:sz="4" w:space="0" w:color="auto"/>
              <w:bottom w:val="single" w:sz="4" w:space="0" w:color="auto"/>
              <w:right w:val="single" w:sz="4" w:space="0" w:color="auto"/>
            </w:tcBorders>
            <w:vAlign w:val="center"/>
          </w:tcPr>
          <w:p w14:paraId="282E8EA8"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4921 - 5214</w:t>
            </w:r>
          </w:p>
        </w:tc>
        <w:tc>
          <w:tcPr>
            <w:tcW w:w="709" w:type="dxa"/>
            <w:tcBorders>
              <w:top w:val="single" w:sz="4" w:space="0" w:color="auto"/>
              <w:left w:val="single" w:sz="4" w:space="0" w:color="auto"/>
              <w:bottom w:val="single" w:sz="4" w:space="0" w:color="auto"/>
              <w:right w:val="single" w:sz="4" w:space="0" w:color="auto"/>
            </w:tcBorders>
            <w:vAlign w:val="center"/>
          </w:tcPr>
          <w:p w14:paraId="1D2380D9"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294</w:t>
            </w:r>
          </w:p>
        </w:tc>
        <w:tc>
          <w:tcPr>
            <w:tcW w:w="1559" w:type="dxa"/>
            <w:tcBorders>
              <w:top w:val="single" w:sz="4" w:space="0" w:color="auto"/>
              <w:left w:val="single" w:sz="4" w:space="0" w:color="auto"/>
              <w:bottom w:val="single" w:sz="4" w:space="0" w:color="auto"/>
              <w:right w:val="single" w:sz="4" w:space="0" w:color="auto"/>
            </w:tcBorders>
            <w:vAlign w:val="center"/>
          </w:tcPr>
          <w:p w14:paraId="7612D90C" w14:textId="77777777" w:rsidR="0033454E" w:rsidRPr="00BA7B6C" w:rsidRDefault="0033454E" w:rsidP="0033454E">
            <w:pPr>
              <w:widowControl/>
              <w:jc w:val="center"/>
              <w:rPr>
                <w:rFonts w:eastAsia="Batang" w:cs="Arial"/>
                <w:i/>
                <w:iCs/>
                <w:color w:val="000000" w:themeColor="text1"/>
                <w:sz w:val="16"/>
                <w:szCs w:val="16"/>
                <w:lang w:val="en-AU" w:bidi="ar-SA"/>
              </w:rPr>
            </w:pPr>
            <w:r w:rsidRPr="00BA7B6C">
              <w:rPr>
                <w:rFonts w:eastAsia="Batang" w:cs="Arial"/>
                <w:i/>
                <w:iCs/>
                <w:color w:val="000000" w:themeColor="text1"/>
                <w:sz w:val="16"/>
                <w:szCs w:val="16"/>
                <w:lang w:val="en-AU" w:bidi="ar-SA"/>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4C1DA7DB" w14:textId="77777777" w:rsidR="0033454E" w:rsidRPr="00BA7B6C" w:rsidRDefault="0033454E" w:rsidP="0033454E">
            <w:pPr>
              <w:widowControl/>
              <w:ind w:left="34"/>
              <w:jc w:val="center"/>
              <w:rPr>
                <w:rFonts w:eastAsia="Batang" w:cs="Arial"/>
                <w:iCs/>
                <w:color w:val="000000" w:themeColor="text1"/>
                <w:sz w:val="16"/>
                <w:szCs w:val="16"/>
                <w:lang w:bidi="ar-SA"/>
              </w:rPr>
            </w:pPr>
            <w:r w:rsidRPr="00BA7B6C">
              <w:rPr>
                <w:rFonts w:eastAsia="Batang" w:cs="Arial"/>
                <w:iCs/>
                <w:color w:val="000000" w:themeColor="text1"/>
                <w:sz w:val="16"/>
                <w:szCs w:val="16"/>
                <w:lang w:val="en-AU" w:bidi="ar-SA"/>
              </w:rPr>
              <w:t>clockwise</w:t>
            </w:r>
          </w:p>
        </w:tc>
        <w:tc>
          <w:tcPr>
            <w:tcW w:w="2410" w:type="dxa"/>
            <w:tcBorders>
              <w:top w:val="single" w:sz="4" w:space="0" w:color="auto"/>
              <w:left w:val="single" w:sz="4" w:space="0" w:color="auto"/>
              <w:bottom w:val="single" w:sz="4" w:space="0" w:color="auto"/>
              <w:right w:val="single" w:sz="4" w:space="0" w:color="auto"/>
            </w:tcBorders>
            <w:vAlign w:val="center"/>
          </w:tcPr>
          <w:p w14:paraId="28BD5833" w14:textId="77777777" w:rsidR="0033454E" w:rsidRPr="00BA7B6C"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BA7B6C">
              <w:rPr>
                <w:rFonts w:eastAsia="Batang" w:cs="Arial"/>
                <w:iCs/>
                <w:color w:val="000000" w:themeColor="text1"/>
                <w:sz w:val="16"/>
                <w:szCs w:val="16"/>
                <w:lang w:bidi="ar-SA"/>
              </w:rPr>
              <w:t>Promoter region of the nopaline synthase gene</w:t>
            </w:r>
          </w:p>
          <w:p w14:paraId="02ED55A0" w14:textId="77777777" w:rsidR="0033454E" w:rsidRPr="00BA7B6C" w:rsidRDefault="0033454E" w:rsidP="00BD2330">
            <w:pPr>
              <w:pStyle w:val="ListParagraph"/>
              <w:widowControl/>
              <w:numPr>
                <w:ilvl w:val="0"/>
                <w:numId w:val="5"/>
              </w:numPr>
              <w:ind w:left="175" w:hanging="142"/>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 xml:space="preserve">Directs transcription of the </w:t>
            </w:r>
            <w:r w:rsidRPr="00BA7B6C">
              <w:rPr>
                <w:rFonts w:eastAsia="Batang" w:cs="Arial"/>
                <w:i/>
                <w:iCs/>
                <w:color w:val="000000" w:themeColor="text1"/>
                <w:sz w:val="16"/>
                <w:szCs w:val="16"/>
                <w:lang w:val="en-AU" w:bidi="ar-SA"/>
              </w:rPr>
              <w:t xml:space="preserve">barstar </w:t>
            </w:r>
            <w:r w:rsidRPr="00BA7B6C">
              <w:rPr>
                <w:rFonts w:eastAsia="Batang" w:cs="Arial"/>
                <w:iCs/>
                <w:color w:val="000000" w:themeColor="text1"/>
                <w:sz w:val="16"/>
                <w:szCs w:val="16"/>
                <w:lang w:val="en-AU" w:bidi="ar-SA"/>
              </w:rPr>
              <w:t>gene</w:t>
            </w:r>
          </w:p>
        </w:tc>
        <w:tc>
          <w:tcPr>
            <w:tcW w:w="1134" w:type="dxa"/>
            <w:tcBorders>
              <w:top w:val="single" w:sz="4" w:space="0" w:color="auto"/>
              <w:left w:val="single" w:sz="4" w:space="0" w:color="auto"/>
              <w:bottom w:val="single" w:sz="4" w:space="0" w:color="auto"/>
              <w:right w:val="single" w:sz="4" w:space="0" w:color="auto"/>
            </w:tcBorders>
            <w:vAlign w:val="center"/>
          </w:tcPr>
          <w:p w14:paraId="65FA9E55" w14:textId="77777777" w:rsidR="0033454E" w:rsidRPr="00BA7B6C" w:rsidRDefault="0033454E" w:rsidP="0033454E">
            <w:pPr>
              <w:widowControl/>
              <w:ind w:left="34"/>
              <w:jc w:val="center"/>
              <w:rPr>
                <w:rFonts w:eastAsia="Batang" w:cs="Arial"/>
                <w:iCs/>
                <w:color w:val="000000" w:themeColor="text1"/>
                <w:sz w:val="16"/>
                <w:szCs w:val="16"/>
                <w:lang w:bidi="ar-SA"/>
              </w:rPr>
            </w:pPr>
            <w:r w:rsidRPr="00BA7B6C">
              <w:rPr>
                <w:rFonts w:eastAsia="Batang" w:cs="Arial"/>
                <w:iCs/>
                <w:color w:val="000000" w:themeColor="text1"/>
                <w:sz w:val="16"/>
                <w:szCs w:val="16"/>
                <w:lang w:bidi="ar-SA"/>
              </w:rPr>
              <w:t xml:space="preserve">Depicker et al </w:t>
            </w:r>
            <w:r>
              <w:rPr>
                <w:rFonts w:eastAsia="Batang" w:cs="Arial"/>
                <w:iCs/>
                <w:noProof/>
                <w:color w:val="000000" w:themeColor="text1"/>
                <w:sz w:val="16"/>
                <w:szCs w:val="16"/>
                <w:lang w:bidi="ar-SA"/>
              </w:rPr>
              <w:t>(1982)</w:t>
            </w:r>
          </w:p>
        </w:tc>
      </w:tr>
      <w:tr w:rsidR="0033454E" w:rsidRPr="001B5342" w14:paraId="0DA5D14E" w14:textId="77777777" w:rsidTr="0033454E">
        <w:trPr>
          <w:trHeight w:val="466"/>
        </w:trPr>
        <w:tc>
          <w:tcPr>
            <w:tcW w:w="1242" w:type="dxa"/>
            <w:tcBorders>
              <w:top w:val="single" w:sz="4" w:space="0" w:color="auto"/>
              <w:left w:val="single" w:sz="4" w:space="0" w:color="auto"/>
              <w:bottom w:val="single" w:sz="4" w:space="0" w:color="auto"/>
              <w:right w:val="single" w:sz="4" w:space="0" w:color="auto"/>
            </w:tcBorders>
            <w:vAlign w:val="center"/>
          </w:tcPr>
          <w:p w14:paraId="3F7F29D5"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0C74977D"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5215 - 5216</w:t>
            </w:r>
          </w:p>
        </w:tc>
        <w:tc>
          <w:tcPr>
            <w:tcW w:w="709" w:type="dxa"/>
            <w:tcBorders>
              <w:top w:val="single" w:sz="4" w:space="0" w:color="auto"/>
              <w:left w:val="single" w:sz="4" w:space="0" w:color="auto"/>
              <w:bottom w:val="single" w:sz="4" w:space="0" w:color="auto"/>
              <w:right w:val="single" w:sz="4" w:space="0" w:color="auto"/>
            </w:tcBorders>
            <w:vAlign w:val="center"/>
          </w:tcPr>
          <w:p w14:paraId="6FE45858"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1E222E" w14:textId="77777777" w:rsidR="0033454E" w:rsidRPr="00BA7B6C"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6D11FC13"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005C09" w14:textId="77777777" w:rsidR="0033454E" w:rsidRPr="00BA7B6C" w:rsidRDefault="0033454E" w:rsidP="0033454E">
            <w:pPr>
              <w:widowControl/>
              <w:ind w:left="34"/>
              <w:rPr>
                <w:rFonts w:eastAsia="Batang" w:cs="Arial"/>
                <w:iCs/>
                <w:color w:val="000000" w:themeColor="text1"/>
                <w:sz w:val="16"/>
                <w:szCs w:val="16"/>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6D7BE21"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r>
      <w:tr w:rsidR="0033454E" w:rsidRPr="0064180B" w14:paraId="6088522A" w14:textId="77777777" w:rsidTr="0033454E">
        <w:trPr>
          <w:trHeight w:val="466"/>
        </w:trPr>
        <w:tc>
          <w:tcPr>
            <w:tcW w:w="1242" w:type="dxa"/>
            <w:tcBorders>
              <w:top w:val="single" w:sz="4" w:space="0" w:color="auto"/>
              <w:left w:val="single" w:sz="4" w:space="0" w:color="auto"/>
              <w:bottom w:val="single" w:sz="4" w:space="0" w:color="auto"/>
              <w:right w:val="single" w:sz="4" w:space="0" w:color="auto"/>
            </w:tcBorders>
            <w:vAlign w:val="center"/>
          </w:tcPr>
          <w:p w14:paraId="2D5B6498" w14:textId="77777777" w:rsidR="0033454E" w:rsidRPr="00BA7B6C" w:rsidRDefault="0033454E" w:rsidP="0033454E">
            <w:pPr>
              <w:widowControl/>
              <w:jc w:val="center"/>
              <w:rPr>
                <w:rFonts w:eastAsia="Batang" w:cs="Arial"/>
                <w:i/>
                <w:iCs/>
                <w:color w:val="000000" w:themeColor="text1"/>
                <w:sz w:val="16"/>
                <w:szCs w:val="16"/>
                <w:lang w:val="en-AU" w:bidi="ar-SA"/>
              </w:rPr>
            </w:pPr>
            <w:r w:rsidRPr="00BA7B6C">
              <w:rPr>
                <w:rFonts w:eastAsia="Batang" w:cs="Arial"/>
                <w:i/>
                <w:iCs/>
                <w:color w:val="000000" w:themeColor="text1"/>
                <w:sz w:val="16"/>
                <w:szCs w:val="16"/>
                <w:lang w:val="en-AU" w:bidi="ar-SA"/>
              </w:rPr>
              <w:t>barstar</w:t>
            </w:r>
          </w:p>
        </w:tc>
        <w:tc>
          <w:tcPr>
            <w:tcW w:w="1276" w:type="dxa"/>
            <w:tcBorders>
              <w:top w:val="single" w:sz="4" w:space="0" w:color="auto"/>
              <w:left w:val="single" w:sz="4" w:space="0" w:color="auto"/>
              <w:bottom w:val="single" w:sz="4" w:space="0" w:color="auto"/>
              <w:right w:val="single" w:sz="4" w:space="0" w:color="auto"/>
            </w:tcBorders>
            <w:vAlign w:val="center"/>
          </w:tcPr>
          <w:p w14:paraId="262EEB18"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5217 - 5489</w:t>
            </w:r>
          </w:p>
        </w:tc>
        <w:tc>
          <w:tcPr>
            <w:tcW w:w="709" w:type="dxa"/>
            <w:tcBorders>
              <w:top w:val="single" w:sz="4" w:space="0" w:color="auto"/>
              <w:left w:val="single" w:sz="4" w:space="0" w:color="auto"/>
              <w:bottom w:val="single" w:sz="4" w:space="0" w:color="auto"/>
              <w:right w:val="single" w:sz="4" w:space="0" w:color="auto"/>
            </w:tcBorders>
            <w:vAlign w:val="center"/>
          </w:tcPr>
          <w:p w14:paraId="70FDC352"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273</w:t>
            </w:r>
          </w:p>
        </w:tc>
        <w:tc>
          <w:tcPr>
            <w:tcW w:w="1559" w:type="dxa"/>
            <w:tcBorders>
              <w:top w:val="single" w:sz="4" w:space="0" w:color="auto"/>
              <w:left w:val="single" w:sz="4" w:space="0" w:color="auto"/>
              <w:bottom w:val="single" w:sz="4" w:space="0" w:color="auto"/>
              <w:right w:val="single" w:sz="4" w:space="0" w:color="auto"/>
            </w:tcBorders>
            <w:vAlign w:val="center"/>
          </w:tcPr>
          <w:p w14:paraId="523B0531" w14:textId="77777777" w:rsidR="0033454E" w:rsidRPr="00BA7B6C" w:rsidRDefault="0033454E" w:rsidP="0033454E">
            <w:pPr>
              <w:widowControl/>
              <w:jc w:val="center"/>
              <w:rPr>
                <w:rFonts w:eastAsia="Batang" w:cs="Arial"/>
                <w:i/>
                <w:iCs/>
                <w:color w:val="000000" w:themeColor="text1"/>
                <w:sz w:val="16"/>
                <w:szCs w:val="16"/>
                <w:lang w:val="en-AU" w:bidi="ar-SA"/>
              </w:rPr>
            </w:pPr>
            <w:r w:rsidRPr="00BA7B6C">
              <w:rPr>
                <w:rFonts w:eastAsia="Batang" w:cs="Arial"/>
                <w:i/>
                <w:iCs/>
                <w:color w:val="000000" w:themeColor="text1"/>
                <w:sz w:val="16"/>
                <w:szCs w:val="16"/>
                <w:lang w:val="en-AU" w:bidi="ar-SA"/>
              </w:rPr>
              <w:t>Bacillus amyloliquefaciens</w:t>
            </w:r>
          </w:p>
        </w:tc>
        <w:tc>
          <w:tcPr>
            <w:tcW w:w="992" w:type="dxa"/>
            <w:tcBorders>
              <w:top w:val="single" w:sz="4" w:space="0" w:color="auto"/>
              <w:left w:val="single" w:sz="4" w:space="0" w:color="auto"/>
              <w:bottom w:val="single" w:sz="4" w:space="0" w:color="auto"/>
              <w:right w:val="single" w:sz="4" w:space="0" w:color="auto"/>
            </w:tcBorders>
            <w:vAlign w:val="center"/>
          </w:tcPr>
          <w:p w14:paraId="3D4311ED" w14:textId="77777777" w:rsidR="0033454E" w:rsidRPr="00BA7B6C" w:rsidRDefault="0033454E" w:rsidP="0033454E">
            <w:pPr>
              <w:widowControl/>
              <w:ind w:left="34"/>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clockwise</w:t>
            </w:r>
          </w:p>
        </w:tc>
        <w:tc>
          <w:tcPr>
            <w:tcW w:w="2410" w:type="dxa"/>
            <w:tcBorders>
              <w:top w:val="single" w:sz="4" w:space="0" w:color="auto"/>
              <w:left w:val="single" w:sz="4" w:space="0" w:color="auto"/>
              <w:bottom w:val="single" w:sz="4" w:space="0" w:color="auto"/>
              <w:right w:val="single" w:sz="4" w:space="0" w:color="auto"/>
            </w:tcBorders>
            <w:vAlign w:val="center"/>
          </w:tcPr>
          <w:p w14:paraId="511384DE" w14:textId="77777777" w:rsidR="0033454E" w:rsidRPr="00BA7B6C" w:rsidRDefault="0033454E" w:rsidP="00BD2330">
            <w:pPr>
              <w:pStyle w:val="ListParagraph"/>
              <w:widowControl/>
              <w:numPr>
                <w:ilvl w:val="0"/>
                <w:numId w:val="6"/>
              </w:numPr>
              <w:ind w:left="175" w:hanging="142"/>
              <w:rPr>
                <w:rFonts w:eastAsia="Batang" w:cs="Arial"/>
                <w:iCs/>
                <w:color w:val="000000" w:themeColor="text1"/>
                <w:sz w:val="16"/>
                <w:szCs w:val="16"/>
                <w:lang w:bidi="ar-SA"/>
              </w:rPr>
            </w:pPr>
            <w:r>
              <w:rPr>
                <w:rFonts w:eastAsia="Batang" w:cs="Arial"/>
                <w:iCs/>
                <w:color w:val="000000" w:themeColor="text1"/>
                <w:sz w:val="16"/>
                <w:szCs w:val="16"/>
                <w:lang w:bidi="ar-SA"/>
              </w:rPr>
              <w:t>C</w:t>
            </w:r>
            <w:r w:rsidRPr="00BA7B6C">
              <w:rPr>
                <w:rFonts w:eastAsia="Batang" w:cs="Arial"/>
                <w:iCs/>
                <w:color w:val="000000" w:themeColor="text1"/>
                <w:sz w:val="16"/>
                <w:szCs w:val="16"/>
                <w:lang w:bidi="ar-SA"/>
              </w:rPr>
              <w:t xml:space="preserve">oding sequence of the </w:t>
            </w:r>
            <w:r w:rsidRPr="00BA7B6C">
              <w:rPr>
                <w:rFonts w:eastAsia="Batang" w:cs="Arial"/>
                <w:i/>
                <w:iCs/>
                <w:color w:val="000000" w:themeColor="text1"/>
                <w:sz w:val="16"/>
                <w:szCs w:val="16"/>
                <w:lang w:bidi="ar-SA"/>
              </w:rPr>
              <w:t xml:space="preserve">barstar </w:t>
            </w:r>
            <w:r w:rsidRPr="00BA7B6C">
              <w:rPr>
                <w:rFonts w:eastAsia="Batang" w:cs="Arial"/>
                <w:iCs/>
                <w:color w:val="000000" w:themeColor="text1"/>
                <w:sz w:val="16"/>
                <w:szCs w:val="16"/>
                <w:lang w:bidi="ar-SA"/>
              </w:rPr>
              <w:t xml:space="preserve">gene </w:t>
            </w:r>
          </w:p>
        </w:tc>
        <w:tc>
          <w:tcPr>
            <w:tcW w:w="1134" w:type="dxa"/>
            <w:tcBorders>
              <w:top w:val="single" w:sz="4" w:space="0" w:color="auto"/>
              <w:left w:val="single" w:sz="4" w:space="0" w:color="auto"/>
              <w:bottom w:val="single" w:sz="4" w:space="0" w:color="auto"/>
              <w:right w:val="single" w:sz="4" w:space="0" w:color="auto"/>
            </w:tcBorders>
            <w:vAlign w:val="center"/>
          </w:tcPr>
          <w:p w14:paraId="74DD1555" w14:textId="77777777" w:rsidR="0033454E" w:rsidRPr="0064180B" w:rsidRDefault="0033454E" w:rsidP="0033454E">
            <w:pPr>
              <w:widowControl/>
              <w:ind w:left="34"/>
              <w:jc w:val="center"/>
              <w:rPr>
                <w:rFonts w:eastAsia="Batang" w:cs="Arial"/>
                <w:iCs/>
                <w:color w:val="000000" w:themeColor="text1"/>
                <w:sz w:val="16"/>
                <w:szCs w:val="16"/>
                <w:lang w:val="en-AU" w:bidi="ar-SA"/>
              </w:rPr>
            </w:pPr>
            <w:r w:rsidRPr="0064180B">
              <w:rPr>
                <w:rFonts w:eastAsia="Batang" w:cs="Arial"/>
                <w:iCs/>
                <w:color w:val="000000" w:themeColor="text1"/>
                <w:sz w:val="16"/>
                <w:szCs w:val="16"/>
                <w:lang w:val="en-AU" w:bidi="ar-SA"/>
              </w:rPr>
              <w:t xml:space="preserve">Hartley </w:t>
            </w:r>
            <w:r>
              <w:rPr>
                <w:rFonts w:eastAsia="Batang" w:cs="Arial"/>
                <w:iCs/>
                <w:noProof/>
                <w:color w:val="000000" w:themeColor="text1"/>
                <w:sz w:val="16"/>
                <w:szCs w:val="16"/>
                <w:lang w:val="en-AU" w:bidi="ar-SA"/>
              </w:rPr>
              <w:t>(1988)</w:t>
            </w:r>
          </w:p>
        </w:tc>
      </w:tr>
      <w:tr w:rsidR="0033454E" w:rsidRPr="001B5342" w14:paraId="586AC525" w14:textId="77777777" w:rsidTr="0033454E">
        <w:trPr>
          <w:trHeight w:val="466"/>
        </w:trPr>
        <w:tc>
          <w:tcPr>
            <w:tcW w:w="1242" w:type="dxa"/>
            <w:tcBorders>
              <w:top w:val="single" w:sz="4" w:space="0" w:color="auto"/>
              <w:left w:val="single" w:sz="4" w:space="0" w:color="auto"/>
              <w:bottom w:val="single" w:sz="4" w:space="0" w:color="auto"/>
              <w:right w:val="single" w:sz="4" w:space="0" w:color="auto"/>
            </w:tcBorders>
            <w:vAlign w:val="center"/>
          </w:tcPr>
          <w:p w14:paraId="68C511DD"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vAlign w:val="center"/>
          </w:tcPr>
          <w:p w14:paraId="6B4B27BF"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5490 - 5554</w:t>
            </w:r>
          </w:p>
        </w:tc>
        <w:tc>
          <w:tcPr>
            <w:tcW w:w="709" w:type="dxa"/>
            <w:tcBorders>
              <w:top w:val="single" w:sz="4" w:space="0" w:color="auto"/>
              <w:left w:val="single" w:sz="4" w:space="0" w:color="auto"/>
              <w:bottom w:val="single" w:sz="4" w:space="0" w:color="auto"/>
              <w:right w:val="single" w:sz="4" w:space="0" w:color="auto"/>
            </w:tcBorders>
            <w:vAlign w:val="center"/>
          </w:tcPr>
          <w:p w14:paraId="3D40A9C5"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65</w:t>
            </w:r>
          </w:p>
        </w:tc>
        <w:tc>
          <w:tcPr>
            <w:tcW w:w="1559" w:type="dxa"/>
            <w:tcBorders>
              <w:top w:val="single" w:sz="4" w:space="0" w:color="auto"/>
              <w:left w:val="single" w:sz="4" w:space="0" w:color="auto"/>
              <w:bottom w:val="single" w:sz="4" w:space="0" w:color="auto"/>
              <w:right w:val="single" w:sz="4" w:space="0" w:color="auto"/>
            </w:tcBorders>
            <w:vAlign w:val="center"/>
          </w:tcPr>
          <w:p w14:paraId="74BDCD3E" w14:textId="77777777" w:rsidR="0033454E" w:rsidRPr="00BA7B6C"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3077CC32"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vAlign w:val="center"/>
          </w:tcPr>
          <w:p w14:paraId="7EE159A0" w14:textId="77777777" w:rsidR="0033454E" w:rsidRPr="00BA7B6C" w:rsidRDefault="0033454E" w:rsidP="0033454E">
            <w:pPr>
              <w:widowControl/>
              <w:ind w:left="34"/>
              <w:rPr>
                <w:rFonts w:eastAsia="Batang" w:cs="Arial"/>
                <w:iCs/>
                <w:color w:val="000000" w:themeColor="text1"/>
                <w:sz w:val="16"/>
                <w:szCs w:val="16"/>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638498F"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r>
      <w:tr w:rsidR="0033454E" w:rsidRPr="001B5342" w14:paraId="5F17A22F" w14:textId="77777777" w:rsidTr="0033454E">
        <w:trPr>
          <w:trHeight w:val="466"/>
        </w:trPr>
        <w:tc>
          <w:tcPr>
            <w:tcW w:w="1242" w:type="dxa"/>
            <w:tcBorders>
              <w:top w:val="single" w:sz="4" w:space="0" w:color="auto"/>
              <w:left w:val="single" w:sz="4" w:space="0" w:color="auto"/>
              <w:bottom w:val="single" w:sz="4" w:space="0" w:color="auto"/>
              <w:right w:val="single" w:sz="4" w:space="0" w:color="auto"/>
            </w:tcBorders>
            <w:vAlign w:val="center"/>
          </w:tcPr>
          <w:p w14:paraId="131A0040"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
                <w:iCs/>
                <w:color w:val="000000" w:themeColor="text1"/>
                <w:sz w:val="16"/>
                <w:szCs w:val="16"/>
                <w:lang w:val="en-AU" w:bidi="ar-SA"/>
              </w:rPr>
              <w:t>3’g7</w:t>
            </w:r>
            <w:r w:rsidRPr="00BA7B6C">
              <w:rPr>
                <w:rFonts w:eastAsia="Batang" w:cs="Arial"/>
                <w:iCs/>
                <w:color w:val="000000" w:themeColor="text1"/>
                <w:sz w:val="16"/>
                <w:szCs w:val="16"/>
                <w:lang w:val="en-AU" w:bidi="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678848A0"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5555 - 5766</w:t>
            </w:r>
          </w:p>
        </w:tc>
        <w:tc>
          <w:tcPr>
            <w:tcW w:w="709" w:type="dxa"/>
            <w:tcBorders>
              <w:top w:val="single" w:sz="4" w:space="0" w:color="auto"/>
              <w:left w:val="single" w:sz="4" w:space="0" w:color="auto"/>
              <w:bottom w:val="single" w:sz="4" w:space="0" w:color="auto"/>
              <w:right w:val="single" w:sz="4" w:space="0" w:color="auto"/>
            </w:tcBorders>
            <w:vAlign w:val="center"/>
          </w:tcPr>
          <w:p w14:paraId="725716DC"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212</w:t>
            </w:r>
          </w:p>
        </w:tc>
        <w:tc>
          <w:tcPr>
            <w:tcW w:w="1559" w:type="dxa"/>
            <w:tcBorders>
              <w:top w:val="single" w:sz="4" w:space="0" w:color="auto"/>
              <w:left w:val="single" w:sz="4" w:space="0" w:color="auto"/>
              <w:bottom w:val="single" w:sz="4" w:space="0" w:color="auto"/>
              <w:right w:val="single" w:sz="4" w:space="0" w:color="auto"/>
            </w:tcBorders>
            <w:vAlign w:val="center"/>
          </w:tcPr>
          <w:p w14:paraId="1214F5FA" w14:textId="77777777" w:rsidR="0033454E" w:rsidRPr="00BA7B6C" w:rsidRDefault="0033454E" w:rsidP="0033454E">
            <w:pPr>
              <w:widowControl/>
              <w:jc w:val="center"/>
              <w:rPr>
                <w:rFonts w:eastAsia="Batang" w:cs="Arial"/>
                <w:i/>
                <w:iCs/>
                <w:color w:val="000000" w:themeColor="text1"/>
                <w:sz w:val="16"/>
                <w:szCs w:val="16"/>
                <w:lang w:val="en-AU" w:bidi="ar-SA"/>
              </w:rPr>
            </w:pPr>
            <w:r w:rsidRPr="00BA7B6C">
              <w:rPr>
                <w:rFonts w:eastAsia="Batang" w:cs="Arial"/>
                <w:i/>
                <w:iCs/>
                <w:color w:val="000000" w:themeColor="text1"/>
                <w:sz w:val="16"/>
                <w:szCs w:val="16"/>
                <w:lang w:val="en-AU" w:bidi="ar-SA"/>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492D3BA1" w14:textId="77777777" w:rsidR="0033454E" w:rsidRPr="00BA7B6C" w:rsidRDefault="0033454E" w:rsidP="0033454E">
            <w:pPr>
              <w:widowControl/>
              <w:ind w:left="34"/>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clockwise</w:t>
            </w:r>
          </w:p>
        </w:tc>
        <w:tc>
          <w:tcPr>
            <w:tcW w:w="2410" w:type="dxa"/>
            <w:tcBorders>
              <w:top w:val="single" w:sz="4" w:space="0" w:color="auto"/>
              <w:left w:val="single" w:sz="4" w:space="0" w:color="auto"/>
              <w:bottom w:val="single" w:sz="4" w:space="0" w:color="auto"/>
              <w:right w:val="single" w:sz="4" w:space="0" w:color="auto"/>
            </w:tcBorders>
            <w:vAlign w:val="center"/>
          </w:tcPr>
          <w:p w14:paraId="67557816" w14:textId="77777777" w:rsidR="0033454E" w:rsidRPr="00BA7B6C" w:rsidRDefault="0033454E" w:rsidP="00BD2330">
            <w:pPr>
              <w:pStyle w:val="ListParagraph"/>
              <w:widowControl/>
              <w:numPr>
                <w:ilvl w:val="0"/>
                <w:numId w:val="4"/>
              </w:numPr>
              <w:ind w:left="175" w:hanging="142"/>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 xml:space="preserve">Terminator region of the TL-DNA 7 gene of the octopine </w:t>
            </w:r>
            <w:r w:rsidRPr="009534F8">
              <w:rPr>
                <w:rFonts w:eastAsia="Batang" w:cs="Arial"/>
                <w:iCs/>
                <w:color w:val="000000" w:themeColor="text1"/>
                <w:sz w:val="16"/>
                <w:szCs w:val="16"/>
                <w:lang w:val="en-AU" w:bidi="ar-SA"/>
              </w:rPr>
              <w:t>Ti plasmid</w:t>
            </w:r>
          </w:p>
          <w:p w14:paraId="54ECD3B6" w14:textId="77777777" w:rsidR="0033454E" w:rsidRPr="00BA7B6C" w:rsidRDefault="0033454E" w:rsidP="00BD2330">
            <w:pPr>
              <w:pStyle w:val="ListParagraph"/>
              <w:widowControl/>
              <w:numPr>
                <w:ilvl w:val="0"/>
                <w:numId w:val="5"/>
              </w:numPr>
              <w:ind w:left="175" w:hanging="142"/>
              <w:rPr>
                <w:rFonts w:eastAsia="Batang" w:cs="Arial"/>
                <w:iCs/>
                <w:color w:val="000000" w:themeColor="text1"/>
                <w:sz w:val="16"/>
                <w:szCs w:val="16"/>
                <w:lang w:bidi="ar-SA"/>
              </w:rPr>
            </w:pPr>
            <w:r w:rsidRPr="00BA7B6C">
              <w:rPr>
                <w:rFonts w:eastAsia="Batang" w:cs="Arial"/>
                <w:iCs/>
                <w:color w:val="000000" w:themeColor="text1"/>
                <w:sz w:val="16"/>
                <w:szCs w:val="16"/>
                <w:lang w:bidi="ar-SA"/>
              </w:rPr>
              <w:t xml:space="preserve">Directs polyadenylation of the </w:t>
            </w:r>
            <w:r w:rsidRPr="00BA7B6C">
              <w:rPr>
                <w:rFonts w:eastAsia="Batang" w:cs="Arial"/>
                <w:i/>
                <w:iCs/>
                <w:color w:val="000000" w:themeColor="text1"/>
                <w:sz w:val="16"/>
                <w:szCs w:val="16"/>
                <w:lang w:bidi="ar-SA"/>
              </w:rPr>
              <w:t>bar</w:t>
            </w:r>
            <w:r w:rsidRPr="00BA7B6C">
              <w:rPr>
                <w:rFonts w:eastAsia="Batang" w:cs="Arial"/>
                <w:iCs/>
                <w:color w:val="000000" w:themeColor="text1"/>
                <w:sz w:val="16"/>
                <w:szCs w:val="16"/>
                <w:lang w:bidi="ar-SA"/>
              </w:rPr>
              <w:t xml:space="preserve"> gene</w:t>
            </w:r>
          </w:p>
        </w:tc>
        <w:tc>
          <w:tcPr>
            <w:tcW w:w="1134" w:type="dxa"/>
            <w:tcBorders>
              <w:top w:val="single" w:sz="4" w:space="0" w:color="auto"/>
              <w:left w:val="single" w:sz="4" w:space="0" w:color="auto"/>
              <w:bottom w:val="single" w:sz="4" w:space="0" w:color="auto"/>
              <w:right w:val="single" w:sz="4" w:space="0" w:color="auto"/>
            </w:tcBorders>
            <w:vAlign w:val="center"/>
          </w:tcPr>
          <w:p w14:paraId="1C82C04A" w14:textId="77777777" w:rsidR="0033454E" w:rsidRPr="00BA7B6C" w:rsidRDefault="0033454E" w:rsidP="0033454E">
            <w:pPr>
              <w:widowControl/>
              <w:ind w:left="34"/>
              <w:jc w:val="center"/>
              <w:rPr>
                <w:rFonts w:eastAsia="Batang" w:cs="Arial"/>
                <w:iCs/>
                <w:color w:val="000000" w:themeColor="text1"/>
                <w:sz w:val="16"/>
                <w:szCs w:val="16"/>
                <w:lang w:val="en-AU" w:bidi="ar-SA"/>
              </w:rPr>
            </w:pPr>
            <w:r w:rsidRPr="00AB0610">
              <w:rPr>
                <w:rFonts w:eastAsia="Batang" w:cs="Arial"/>
                <w:iCs/>
                <w:color w:val="000000" w:themeColor="text1"/>
                <w:sz w:val="16"/>
                <w:szCs w:val="16"/>
                <w:lang w:val="en-AU" w:bidi="ar-SA"/>
              </w:rPr>
              <w:t xml:space="preserve">Dhaese et al </w:t>
            </w:r>
            <w:r>
              <w:rPr>
                <w:rFonts w:eastAsia="Batang" w:cs="Arial"/>
                <w:iCs/>
                <w:noProof/>
                <w:color w:val="000000" w:themeColor="text1"/>
                <w:sz w:val="16"/>
                <w:szCs w:val="16"/>
                <w:lang w:val="en-AU" w:bidi="ar-SA"/>
              </w:rPr>
              <w:t>(1983)</w:t>
            </w:r>
          </w:p>
        </w:tc>
      </w:tr>
      <w:tr w:rsidR="0033454E" w:rsidRPr="001B5342" w14:paraId="19F7DBFF" w14:textId="77777777" w:rsidTr="0033454E">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8B5D3F8" w14:textId="77777777" w:rsidR="0033454E" w:rsidRPr="00BA7B6C" w:rsidRDefault="0033454E" w:rsidP="0033454E">
            <w:pPr>
              <w:widowControl/>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Intervening sequence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91A456"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5767 - 5840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5A6FE1"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82CF27" w14:textId="77777777" w:rsidR="0033454E" w:rsidRPr="00BA7B6C" w:rsidRDefault="0033454E" w:rsidP="0033454E">
            <w:pPr>
              <w:widowControl/>
              <w:jc w:val="center"/>
              <w:rPr>
                <w:rFonts w:eastAsia="Batang" w:cs="Arial"/>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1B86E" w14:textId="77777777" w:rsidR="0033454E" w:rsidRPr="00BA7B6C" w:rsidRDefault="0033454E" w:rsidP="0033454E">
            <w:pPr>
              <w:widowControl/>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1CFC59" w14:textId="77777777" w:rsidR="0033454E" w:rsidRPr="00BA7B6C" w:rsidRDefault="0033454E" w:rsidP="0033454E">
            <w:pPr>
              <w:widowControl/>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9B881" w14:textId="77777777" w:rsidR="0033454E" w:rsidRPr="00BA7B6C" w:rsidRDefault="0033454E" w:rsidP="0033454E">
            <w:pPr>
              <w:widowControl/>
              <w:jc w:val="center"/>
              <w:rPr>
                <w:rFonts w:eastAsia="Batang" w:cs="Arial"/>
                <w:iCs/>
                <w:color w:val="000000" w:themeColor="text1"/>
                <w:sz w:val="16"/>
                <w:szCs w:val="16"/>
                <w:lang w:val="en-AU" w:bidi="ar-SA"/>
              </w:rPr>
            </w:pPr>
          </w:p>
        </w:tc>
      </w:tr>
      <w:tr w:rsidR="0033454E" w:rsidRPr="001B5342" w14:paraId="6A6B32DD" w14:textId="77777777" w:rsidTr="0033454E">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4BF82C7"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Left Border</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08EE86"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5841 - 5865</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BB3698A" w14:textId="77777777" w:rsidR="0033454E" w:rsidRPr="00BA7B6C" w:rsidRDefault="0033454E" w:rsidP="0033454E">
            <w:pPr>
              <w:widowControl/>
              <w:jc w:val="center"/>
              <w:rPr>
                <w:rFonts w:eastAsia="Batang" w:cs="Arial"/>
                <w:iCs/>
                <w:color w:val="000000" w:themeColor="text1"/>
                <w:sz w:val="16"/>
                <w:szCs w:val="16"/>
                <w:lang w:val="en-AU" w:bidi="ar-SA"/>
              </w:rPr>
            </w:pPr>
            <w:r w:rsidRPr="00BA7B6C">
              <w:rPr>
                <w:rFonts w:eastAsia="Batang" w:cs="Arial"/>
                <w:iCs/>
                <w:color w:val="000000" w:themeColor="text1"/>
                <w:sz w:val="16"/>
                <w:szCs w:val="16"/>
                <w:lang w:val="en-AU" w:bidi="ar-SA"/>
              </w:rPr>
              <w:t>25</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CE4AB52" w14:textId="77777777" w:rsidR="0033454E" w:rsidRPr="00BA7B6C" w:rsidRDefault="0033454E" w:rsidP="0033454E">
            <w:pPr>
              <w:widowControl/>
              <w:jc w:val="center"/>
              <w:rPr>
                <w:rFonts w:eastAsia="Batang" w:cs="Arial"/>
                <w:i/>
                <w:iCs/>
                <w:color w:val="000000" w:themeColor="text1"/>
                <w:sz w:val="16"/>
                <w:szCs w:val="16"/>
                <w:lang w:val="en-AU" w:bidi="ar-SA"/>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8D60FA"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CE17C9"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2734001" w14:textId="77777777" w:rsidR="0033454E" w:rsidRPr="00BA7B6C" w:rsidRDefault="0033454E" w:rsidP="0033454E">
            <w:pPr>
              <w:widowControl/>
              <w:ind w:left="34"/>
              <w:jc w:val="center"/>
              <w:rPr>
                <w:rFonts w:eastAsia="Batang" w:cs="Arial"/>
                <w:iCs/>
                <w:color w:val="000000" w:themeColor="text1"/>
                <w:sz w:val="16"/>
                <w:szCs w:val="16"/>
                <w:lang w:val="en-AU" w:bidi="ar-SA"/>
              </w:rPr>
            </w:pPr>
          </w:p>
        </w:tc>
      </w:tr>
    </w:tbl>
    <w:p w14:paraId="2D8B3395" w14:textId="49C606BB" w:rsidR="0033454E" w:rsidRPr="0026400C" w:rsidRDefault="0093373F" w:rsidP="0033454E">
      <w:pPr>
        <w:pStyle w:val="Heading3"/>
      </w:pPr>
      <w:r>
        <w:lastRenderedPageBreak/>
        <w:t>3.2.1</w:t>
      </w:r>
      <w:r w:rsidR="0033454E" w:rsidRPr="0026400C">
        <w:tab/>
      </w:r>
      <w:r w:rsidR="0033454E" w:rsidRPr="0026400C">
        <w:rPr>
          <w:i/>
        </w:rPr>
        <w:t>bar</w:t>
      </w:r>
      <w:r w:rsidR="0033454E" w:rsidRPr="0026400C">
        <w:t xml:space="preserve"> cassette</w:t>
      </w:r>
    </w:p>
    <w:p w14:paraId="5046B92A" w14:textId="77777777" w:rsidR="0033454E" w:rsidRPr="00E25045" w:rsidRDefault="0033454E" w:rsidP="0033454E">
      <w:pPr>
        <w:pStyle w:val="BodyText"/>
        <w:ind w:right="-188"/>
        <w:rPr>
          <w:rFonts w:cs="Arial"/>
          <w:color w:val="000000" w:themeColor="text1"/>
          <w:szCs w:val="22"/>
        </w:rPr>
      </w:pPr>
      <w:r w:rsidRPr="00E25045">
        <w:rPr>
          <w:rFonts w:cs="Arial"/>
          <w:color w:val="000000" w:themeColor="text1"/>
          <w:szCs w:val="22"/>
        </w:rPr>
        <w:t xml:space="preserve">The </w:t>
      </w:r>
      <w:r w:rsidRPr="00E25045">
        <w:rPr>
          <w:rFonts w:cs="Arial"/>
          <w:i/>
          <w:color w:val="000000" w:themeColor="text1"/>
          <w:szCs w:val="22"/>
        </w:rPr>
        <w:t>bar</w:t>
      </w:r>
      <w:r w:rsidRPr="00E25045">
        <w:rPr>
          <w:rFonts w:cs="Arial"/>
          <w:color w:val="000000" w:themeColor="text1"/>
          <w:szCs w:val="22"/>
        </w:rPr>
        <w:t xml:space="preserve"> gene from </w:t>
      </w:r>
      <w:r w:rsidRPr="00E25045">
        <w:rPr>
          <w:rFonts w:cs="Arial"/>
          <w:i/>
          <w:color w:val="000000" w:themeColor="text1"/>
          <w:szCs w:val="22"/>
        </w:rPr>
        <w:t>S. hygroscopicus</w:t>
      </w:r>
      <w:r w:rsidRPr="00E25045">
        <w:rPr>
          <w:rFonts w:cs="Arial"/>
          <w:color w:val="000000" w:themeColor="text1"/>
          <w:szCs w:val="22"/>
        </w:rPr>
        <w:t xml:space="preserve"> and the </w:t>
      </w:r>
      <w:r w:rsidRPr="00E25045">
        <w:rPr>
          <w:rFonts w:cs="Arial"/>
          <w:i/>
          <w:color w:val="000000" w:themeColor="text1"/>
          <w:szCs w:val="22"/>
        </w:rPr>
        <w:t>pat</w:t>
      </w:r>
      <w:r w:rsidRPr="00E25045">
        <w:rPr>
          <w:rFonts w:cs="Arial"/>
          <w:color w:val="000000" w:themeColor="text1"/>
          <w:szCs w:val="22"/>
        </w:rPr>
        <w:t xml:space="preserve"> gene from </w:t>
      </w:r>
      <w:r w:rsidRPr="00E25045">
        <w:rPr>
          <w:rFonts w:cs="Arial"/>
          <w:i/>
          <w:color w:val="000000" w:themeColor="text1"/>
          <w:szCs w:val="22"/>
        </w:rPr>
        <w:t>S. viridochromogenes</w:t>
      </w:r>
      <w:r w:rsidRPr="00E25045">
        <w:rPr>
          <w:rFonts w:cs="Arial"/>
          <w:color w:val="000000" w:themeColor="text1"/>
          <w:szCs w:val="22"/>
        </w:rPr>
        <w:t xml:space="preserve"> both confer tolerance to herbicides containing glufosinate ammonium. Both genes code for polypeptides of 183 amino acids and share 87% homology at the nucleotide sequence level </w:t>
      </w:r>
      <w:r>
        <w:rPr>
          <w:rFonts w:cs="Arial"/>
          <w:noProof/>
          <w:color w:val="000000" w:themeColor="text1"/>
          <w:szCs w:val="22"/>
        </w:rPr>
        <w:t>(Wehrmann et al. 1996)</w:t>
      </w:r>
      <w:r w:rsidRPr="00E25045">
        <w:rPr>
          <w:rFonts w:cs="Arial"/>
          <w:color w:val="000000" w:themeColor="text1"/>
          <w:szCs w:val="22"/>
        </w:rPr>
        <w:t>. Both genes have been widely used for genetic modification of food species.</w:t>
      </w:r>
    </w:p>
    <w:p w14:paraId="443A5886" w14:textId="77777777" w:rsidR="0033454E" w:rsidRPr="00E25045" w:rsidRDefault="0033454E" w:rsidP="0033454E">
      <w:pPr>
        <w:widowControl/>
        <w:autoSpaceDE w:val="0"/>
        <w:autoSpaceDN w:val="0"/>
        <w:adjustRightInd w:val="0"/>
        <w:rPr>
          <w:rFonts w:cs="Arial"/>
          <w:szCs w:val="22"/>
          <w:lang w:eastAsia="en-GB" w:bidi="ar-SA"/>
        </w:rPr>
      </w:pPr>
      <w:r w:rsidRPr="00E25045">
        <w:rPr>
          <w:rFonts w:cs="Arial"/>
          <w:szCs w:val="22"/>
          <w:lang w:eastAsia="en-GB" w:bidi="ar-SA"/>
        </w:rPr>
        <w:t xml:space="preserve">Both the </w:t>
      </w:r>
      <w:r w:rsidRPr="00E25045">
        <w:rPr>
          <w:rFonts w:cs="Arial"/>
          <w:i/>
          <w:iCs/>
          <w:szCs w:val="22"/>
          <w:lang w:eastAsia="en-GB" w:bidi="ar-SA"/>
        </w:rPr>
        <w:t xml:space="preserve">bar </w:t>
      </w:r>
      <w:r w:rsidRPr="00E25045">
        <w:rPr>
          <w:rFonts w:cs="Arial"/>
          <w:szCs w:val="22"/>
          <w:lang w:eastAsia="en-GB" w:bidi="ar-SA"/>
        </w:rPr>
        <w:t xml:space="preserve">and </w:t>
      </w:r>
      <w:r w:rsidRPr="00E25045">
        <w:rPr>
          <w:rFonts w:cs="Arial"/>
          <w:i/>
          <w:iCs/>
          <w:szCs w:val="22"/>
          <w:lang w:eastAsia="en-GB" w:bidi="ar-SA"/>
        </w:rPr>
        <w:t xml:space="preserve">pat </w:t>
      </w:r>
      <w:r w:rsidRPr="00E25045">
        <w:rPr>
          <w:rFonts w:cs="Arial"/>
          <w:szCs w:val="22"/>
          <w:lang w:eastAsia="en-GB" w:bidi="ar-SA"/>
        </w:rPr>
        <w:t xml:space="preserve">genes, like other bacterial genes, have relatively high G:C content when compared to plant genes, and as a consequence the native microbial genes are inefficiently expressed in plants. In order to improve this expression, the codon usage pattern is modified but the resultant protein sequence is not altered </w:t>
      </w:r>
      <w:r>
        <w:rPr>
          <w:rFonts w:cs="Arial"/>
          <w:noProof/>
          <w:szCs w:val="22"/>
          <w:lang w:eastAsia="en-GB" w:bidi="ar-SA"/>
        </w:rPr>
        <w:t>(OECD 1999)</w:t>
      </w:r>
      <w:r>
        <w:rPr>
          <w:rFonts w:cs="Arial"/>
          <w:szCs w:val="22"/>
          <w:lang w:eastAsia="en-GB" w:bidi="ar-SA"/>
        </w:rPr>
        <w:t>.</w:t>
      </w:r>
    </w:p>
    <w:p w14:paraId="0D62E579" w14:textId="77777777" w:rsidR="0033454E" w:rsidRPr="00E25045" w:rsidRDefault="0033454E" w:rsidP="0033454E">
      <w:pPr>
        <w:widowControl/>
        <w:autoSpaceDE w:val="0"/>
        <w:autoSpaceDN w:val="0"/>
        <w:adjustRightInd w:val="0"/>
        <w:rPr>
          <w:rFonts w:cs="Arial"/>
          <w:szCs w:val="22"/>
          <w:lang w:eastAsia="en-GB" w:bidi="ar-SA"/>
        </w:rPr>
      </w:pPr>
    </w:p>
    <w:p w14:paraId="260A0FCD" w14:textId="4596C8BE" w:rsidR="0033454E" w:rsidRDefault="0033454E" w:rsidP="0033454E">
      <w:pPr>
        <w:widowControl/>
        <w:autoSpaceDE w:val="0"/>
        <w:autoSpaceDN w:val="0"/>
        <w:adjustRightInd w:val="0"/>
        <w:rPr>
          <w:color w:val="000000" w:themeColor="text1"/>
        </w:rPr>
      </w:pPr>
      <w:r>
        <w:rPr>
          <w:color w:val="000000" w:themeColor="text1"/>
        </w:rPr>
        <w:t>A</w:t>
      </w:r>
      <w:r w:rsidR="00C63B93">
        <w:rPr>
          <w:color w:val="000000" w:themeColor="text1"/>
        </w:rPr>
        <w:t>n</w:t>
      </w:r>
      <w:r>
        <w:rPr>
          <w:color w:val="000000" w:themeColor="text1"/>
        </w:rPr>
        <w:t xml:space="preserve"> </w:t>
      </w:r>
      <w:r w:rsidRPr="00BD2A9B">
        <w:rPr>
          <w:i/>
          <w:color w:val="000000" w:themeColor="text1"/>
        </w:rPr>
        <w:t>Nco</w:t>
      </w:r>
      <w:r>
        <w:rPr>
          <w:color w:val="000000" w:themeColor="text1"/>
        </w:rPr>
        <w:t xml:space="preserve">I site was created at the initiation codon of the </w:t>
      </w:r>
      <w:r w:rsidRPr="004A4CE3">
        <w:rPr>
          <w:i/>
          <w:color w:val="000000" w:themeColor="text1"/>
        </w:rPr>
        <w:t xml:space="preserve">bar </w:t>
      </w:r>
      <w:r>
        <w:rPr>
          <w:color w:val="000000" w:themeColor="text1"/>
        </w:rPr>
        <w:t xml:space="preserve">gene and therefore the second codon – AGC (serine) has been modified to a GAC (aspartate) codon </w:t>
      </w:r>
      <w:r>
        <w:rPr>
          <w:noProof/>
          <w:color w:val="000000" w:themeColor="text1"/>
        </w:rPr>
        <w:t>(Botterman et al. 1991)</w:t>
      </w:r>
      <w:r>
        <w:rPr>
          <w:color w:val="000000" w:themeColor="text1"/>
        </w:rPr>
        <w:t>.</w:t>
      </w:r>
    </w:p>
    <w:p w14:paraId="6B0CF1D4" w14:textId="77777777" w:rsidR="0033454E" w:rsidRDefault="0033454E" w:rsidP="0033454E">
      <w:pPr>
        <w:widowControl/>
        <w:autoSpaceDE w:val="0"/>
        <w:autoSpaceDN w:val="0"/>
        <w:adjustRightInd w:val="0"/>
        <w:rPr>
          <w:color w:val="000000" w:themeColor="text1"/>
        </w:rPr>
      </w:pPr>
    </w:p>
    <w:p w14:paraId="6AA6415B" w14:textId="77777777" w:rsidR="0033454E" w:rsidRPr="001A3959" w:rsidRDefault="0033454E" w:rsidP="0033454E">
      <w:pPr>
        <w:widowControl/>
        <w:autoSpaceDE w:val="0"/>
        <w:autoSpaceDN w:val="0"/>
        <w:adjustRightInd w:val="0"/>
        <w:rPr>
          <w:rFonts w:cs="Arial"/>
          <w:color w:val="000000" w:themeColor="text1"/>
          <w:szCs w:val="22"/>
          <w:lang w:eastAsia="en-GB" w:bidi="ar-SA"/>
        </w:rPr>
      </w:pPr>
      <w:r w:rsidRPr="00E25045">
        <w:rPr>
          <w:rFonts w:cs="Arial"/>
          <w:color w:val="000000" w:themeColor="text1"/>
          <w:szCs w:val="22"/>
          <w:lang w:eastAsia="en-GB" w:bidi="ar-SA"/>
        </w:rPr>
        <w:t xml:space="preserve">Transcription of the </w:t>
      </w:r>
      <w:r w:rsidRPr="00E25045">
        <w:rPr>
          <w:rFonts w:cs="Arial"/>
          <w:i/>
          <w:iCs/>
          <w:color w:val="000000" w:themeColor="text1"/>
          <w:szCs w:val="22"/>
          <w:lang w:eastAsia="en-GB" w:bidi="ar-SA"/>
        </w:rPr>
        <w:t xml:space="preserve">bar </w:t>
      </w:r>
      <w:r w:rsidRPr="00E25045">
        <w:rPr>
          <w:rFonts w:cs="Arial"/>
          <w:color w:val="000000" w:themeColor="text1"/>
          <w:szCs w:val="22"/>
          <w:lang w:eastAsia="en-GB" w:bidi="ar-SA"/>
        </w:rPr>
        <w:t>gene is controlled by the</w:t>
      </w:r>
      <w:r w:rsidRPr="001A3959">
        <w:rPr>
          <w:rFonts w:cs="Arial"/>
          <w:color w:val="000000" w:themeColor="text1"/>
          <w:szCs w:val="22"/>
          <w:lang w:eastAsia="en-GB" w:bidi="ar-SA"/>
        </w:rPr>
        <w:t xml:space="preserve"> promoter from the ribulose bisphosphate </w:t>
      </w:r>
      <w:r w:rsidRPr="00AC3F2B">
        <w:rPr>
          <w:rFonts w:cs="Arial"/>
          <w:color w:val="000000" w:themeColor="text1"/>
          <w:szCs w:val="22"/>
          <w:lang w:eastAsia="en-GB" w:bidi="ar-SA"/>
        </w:rPr>
        <w:t>carboxylase (Rubisco) small</w:t>
      </w:r>
      <w:r w:rsidRPr="001A3959">
        <w:rPr>
          <w:rFonts w:cs="Arial"/>
          <w:color w:val="000000" w:themeColor="text1"/>
          <w:szCs w:val="22"/>
          <w:lang w:eastAsia="en-GB" w:bidi="ar-SA"/>
        </w:rPr>
        <w:t xml:space="preserve"> sub-unit gene (from </w:t>
      </w:r>
      <w:r>
        <w:rPr>
          <w:rFonts w:cs="Arial"/>
          <w:i/>
          <w:color w:val="000000" w:themeColor="text1"/>
          <w:szCs w:val="22"/>
          <w:lang w:eastAsia="en-GB" w:bidi="ar-SA"/>
        </w:rPr>
        <w:t>A.</w:t>
      </w:r>
      <w:r w:rsidRPr="001A3959">
        <w:rPr>
          <w:rFonts w:cs="Arial"/>
          <w:i/>
          <w:color w:val="000000" w:themeColor="text1"/>
          <w:szCs w:val="22"/>
          <w:lang w:eastAsia="en-GB" w:bidi="ar-SA"/>
        </w:rPr>
        <w:t xml:space="preserve"> thaliana</w:t>
      </w:r>
      <w:r w:rsidRPr="001A3959">
        <w:rPr>
          <w:rFonts w:cs="Arial"/>
          <w:color w:val="000000" w:themeColor="text1"/>
          <w:szCs w:val="22"/>
          <w:lang w:eastAsia="en-GB" w:bidi="ar-SA"/>
        </w:rPr>
        <w:t>) which is active in all green tissue of the plant. This ensures there is strong transcription in the leaves and stems of the MS11 plant which would be the most exposed parts following spraying with glufosinate</w:t>
      </w:r>
      <w:r w:rsidRPr="001A3959">
        <w:rPr>
          <w:rFonts w:cs="Arial"/>
          <w:color w:val="000000" w:themeColor="text1"/>
          <w:szCs w:val="22"/>
          <w:lang w:eastAsia="en-GB"/>
        </w:rPr>
        <w:t xml:space="preserve">. Transcription termination of the </w:t>
      </w:r>
      <w:r w:rsidRPr="001A3959">
        <w:rPr>
          <w:rFonts w:cs="Arial"/>
          <w:i/>
          <w:color w:val="000000" w:themeColor="text1"/>
          <w:szCs w:val="22"/>
          <w:lang w:eastAsia="en-GB"/>
        </w:rPr>
        <w:t>bar</w:t>
      </w:r>
      <w:r w:rsidRPr="001A3959">
        <w:rPr>
          <w:rFonts w:cs="Arial"/>
          <w:color w:val="000000" w:themeColor="text1"/>
          <w:szCs w:val="22"/>
          <w:lang w:eastAsia="en-GB"/>
        </w:rPr>
        <w:t xml:space="preserve"> gene is provided by the polyadenylation signal and 3’ untranslated region </w:t>
      </w:r>
      <w:r w:rsidRPr="00AC3F2B">
        <w:rPr>
          <w:rFonts w:cs="Arial"/>
          <w:color w:val="000000" w:themeColor="text1"/>
          <w:szCs w:val="22"/>
          <w:lang w:eastAsia="en-GB"/>
        </w:rPr>
        <w:t>(UTR)</w:t>
      </w:r>
      <w:r w:rsidRPr="00AC3F2B">
        <w:rPr>
          <w:rFonts w:cs="Arial"/>
          <w:color w:val="000000" w:themeColor="text1"/>
          <w:szCs w:val="22"/>
          <w:lang w:eastAsia="en-GB" w:bidi="ar-SA"/>
        </w:rPr>
        <w:t xml:space="preserve"> of</w:t>
      </w:r>
      <w:r w:rsidRPr="001A3959">
        <w:rPr>
          <w:rFonts w:cs="Arial"/>
          <w:color w:val="000000" w:themeColor="text1"/>
          <w:szCs w:val="22"/>
          <w:lang w:eastAsia="en-GB" w:bidi="ar-SA"/>
        </w:rPr>
        <w:t xml:space="preserve"> the TL-DNA gene 7 (3’g7) of the </w:t>
      </w:r>
      <w:r>
        <w:rPr>
          <w:rFonts w:cs="Arial"/>
          <w:i/>
          <w:iCs/>
          <w:color w:val="000000" w:themeColor="text1"/>
          <w:szCs w:val="22"/>
          <w:lang w:eastAsia="en-GB" w:bidi="ar-SA"/>
        </w:rPr>
        <w:t>A.</w:t>
      </w:r>
      <w:r w:rsidRPr="001A3959">
        <w:rPr>
          <w:rFonts w:cs="Arial"/>
          <w:i/>
          <w:iCs/>
          <w:color w:val="000000" w:themeColor="text1"/>
          <w:szCs w:val="22"/>
          <w:lang w:eastAsia="en-GB" w:bidi="ar-SA"/>
        </w:rPr>
        <w:t xml:space="preserve"> tumefaciens </w:t>
      </w:r>
      <w:r>
        <w:rPr>
          <w:rFonts w:cs="Arial"/>
          <w:color w:val="000000" w:themeColor="text1"/>
          <w:szCs w:val="22"/>
          <w:lang w:eastAsia="en-GB" w:bidi="ar-SA"/>
        </w:rPr>
        <w:t>octopine tumour-inducing (Ti)</w:t>
      </w:r>
      <w:r w:rsidRPr="001A3959">
        <w:rPr>
          <w:rFonts w:cs="Arial"/>
          <w:color w:val="000000" w:themeColor="text1"/>
          <w:szCs w:val="22"/>
          <w:lang w:eastAsia="en-GB" w:bidi="ar-SA"/>
        </w:rPr>
        <w:t xml:space="preserve"> plasmid.</w:t>
      </w:r>
    </w:p>
    <w:p w14:paraId="07263D1E" w14:textId="462F7D9B" w:rsidR="0033454E" w:rsidRPr="001A3959" w:rsidRDefault="0093373F" w:rsidP="0033454E">
      <w:pPr>
        <w:pStyle w:val="Heading3"/>
      </w:pPr>
      <w:r>
        <w:t>3.2.2</w:t>
      </w:r>
      <w:r w:rsidR="0033454E" w:rsidRPr="001A3959">
        <w:tab/>
      </w:r>
      <w:r w:rsidR="0033454E" w:rsidRPr="001A3959">
        <w:rPr>
          <w:i/>
        </w:rPr>
        <w:t>barnase</w:t>
      </w:r>
      <w:r w:rsidR="0033454E" w:rsidRPr="001A3959">
        <w:t xml:space="preserve"> cassette</w:t>
      </w:r>
    </w:p>
    <w:p w14:paraId="61036171" w14:textId="77777777" w:rsidR="0033454E" w:rsidRPr="001A3959" w:rsidRDefault="0033454E" w:rsidP="0033454E">
      <w:pPr>
        <w:widowControl/>
        <w:autoSpaceDE w:val="0"/>
        <w:autoSpaceDN w:val="0"/>
        <w:adjustRightInd w:val="0"/>
        <w:rPr>
          <w:rFonts w:cs="Arial"/>
          <w:color w:val="000000" w:themeColor="text1"/>
          <w:szCs w:val="22"/>
          <w:lang w:eastAsia="en-GB" w:bidi="ar-SA"/>
        </w:rPr>
      </w:pPr>
      <w:r w:rsidRPr="001A3959">
        <w:rPr>
          <w:rFonts w:cs="Arial"/>
          <w:color w:val="000000" w:themeColor="text1"/>
          <w:szCs w:val="22"/>
          <w:lang w:eastAsia="en-GB" w:bidi="ar-SA"/>
        </w:rPr>
        <w:t xml:space="preserve">The </w:t>
      </w:r>
      <w:r w:rsidRPr="001A3959">
        <w:rPr>
          <w:rFonts w:cs="Arial"/>
          <w:i/>
          <w:iCs/>
          <w:color w:val="000000" w:themeColor="text1"/>
          <w:szCs w:val="22"/>
          <w:lang w:eastAsia="en-GB" w:bidi="ar-SA"/>
        </w:rPr>
        <w:t xml:space="preserve">barnase </w:t>
      </w:r>
      <w:r w:rsidRPr="001A3959">
        <w:rPr>
          <w:rFonts w:cs="Arial"/>
          <w:color w:val="000000" w:themeColor="text1"/>
          <w:szCs w:val="22"/>
          <w:lang w:eastAsia="en-GB" w:bidi="ar-SA"/>
        </w:rPr>
        <w:t xml:space="preserve">gene is driven by the ta29 promoter from </w:t>
      </w:r>
      <w:r>
        <w:rPr>
          <w:rFonts w:cs="Arial"/>
          <w:i/>
          <w:color w:val="000000" w:themeColor="text1"/>
          <w:szCs w:val="22"/>
          <w:lang w:eastAsia="en-GB" w:bidi="ar-SA"/>
        </w:rPr>
        <w:t>N.</w:t>
      </w:r>
      <w:r w:rsidRPr="001A3959">
        <w:rPr>
          <w:rFonts w:cs="Arial"/>
          <w:i/>
          <w:color w:val="000000" w:themeColor="text1"/>
          <w:szCs w:val="22"/>
          <w:lang w:eastAsia="en-GB" w:bidi="ar-SA"/>
        </w:rPr>
        <w:t xml:space="preserve"> tabacum</w:t>
      </w:r>
      <w:r w:rsidRPr="001A3959">
        <w:rPr>
          <w:rFonts w:cs="Arial"/>
          <w:color w:val="000000" w:themeColor="text1"/>
          <w:szCs w:val="22"/>
          <w:lang w:eastAsia="en-GB" w:bidi="ar-SA"/>
        </w:rPr>
        <w:t xml:space="preserve"> (tobacco) that restricts gene expression to the tapetum cells during anther development. The terminator sequence for the </w:t>
      </w:r>
      <w:r w:rsidRPr="001A3959">
        <w:rPr>
          <w:rFonts w:cs="Arial"/>
          <w:i/>
          <w:iCs/>
          <w:color w:val="000000" w:themeColor="text1"/>
          <w:szCs w:val="22"/>
          <w:lang w:eastAsia="en-GB" w:bidi="ar-SA"/>
        </w:rPr>
        <w:t xml:space="preserve">barnase </w:t>
      </w:r>
      <w:r w:rsidRPr="001A3959">
        <w:rPr>
          <w:rFonts w:cs="Arial"/>
          <w:color w:val="000000" w:themeColor="text1"/>
          <w:szCs w:val="22"/>
          <w:lang w:eastAsia="en-GB" w:bidi="ar-SA"/>
        </w:rPr>
        <w:t xml:space="preserve">gene is the 3’ UTR of the </w:t>
      </w:r>
      <w:r w:rsidRPr="00624B64">
        <w:rPr>
          <w:rFonts w:cs="Arial"/>
          <w:i/>
          <w:color w:val="000000" w:themeColor="text1"/>
          <w:szCs w:val="22"/>
          <w:lang w:eastAsia="en-GB" w:bidi="ar-SA"/>
        </w:rPr>
        <w:t xml:space="preserve">nopaline synthase </w:t>
      </w:r>
      <w:r w:rsidRPr="005E6716">
        <w:rPr>
          <w:rFonts w:cs="Arial"/>
          <w:i/>
          <w:color w:val="000000" w:themeColor="text1"/>
          <w:szCs w:val="22"/>
          <w:lang w:eastAsia="en-GB" w:bidi="ar-SA"/>
        </w:rPr>
        <w:t>(nos)</w:t>
      </w:r>
      <w:r w:rsidRPr="001A3959">
        <w:rPr>
          <w:rFonts w:cs="Arial"/>
          <w:color w:val="000000" w:themeColor="text1"/>
          <w:szCs w:val="22"/>
          <w:lang w:eastAsia="en-GB" w:bidi="ar-SA"/>
        </w:rPr>
        <w:t xml:space="preserve"> gene from the T-DNA of </w:t>
      </w:r>
      <w:r>
        <w:rPr>
          <w:rFonts w:cs="Arial"/>
          <w:color w:val="000000" w:themeColor="text1"/>
          <w:szCs w:val="22"/>
          <w:lang w:eastAsia="en-GB" w:bidi="ar-SA"/>
        </w:rPr>
        <w:t>the Ti</w:t>
      </w:r>
      <w:r w:rsidRPr="001A3959">
        <w:rPr>
          <w:rFonts w:cs="Arial"/>
          <w:color w:val="000000" w:themeColor="text1"/>
          <w:szCs w:val="22"/>
          <w:lang w:eastAsia="en-GB" w:bidi="ar-SA"/>
        </w:rPr>
        <w:t xml:space="preserve"> plasmid pTiT37 from </w:t>
      </w:r>
      <w:r w:rsidRPr="001A3959">
        <w:rPr>
          <w:rFonts w:cs="Arial"/>
          <w:i/>
          <w:iCs/>
          <w:color w:val="000000" w:themeColor="text1"/>
          <w:szCs w:val="22"/>
          <w:lang w:eastAsia="en-GB" w:bidi="ar-SA"/>
        </w:rPr>
        <w:t xml:space="preserve">A. tumefaciens. </w:t>
      </w:r>
    </w:p>
    <w:p w14:paraId="59BE1912" w14:textId="64C4C0E8" w:rsidR="0033454E" w:rsidRPr="001A0468" w:rsidRDefault="0033454E" w:rsidP="0033454E">
      <w:pPr>
        <w:pStyle w:val="Heading3"/>
      </w:pPr>
      <w:r w:rsidRPr="001A3959">
        <w:t>3.</w:t>
      </w:r>
      <w:r w:rsidR="0093373F">
        <w:t>2.3</w:t>
      </w:r>
      <w:r w:rsidRPr="001A0468">
        <w:tab/>
      </w:r>
      <w:r w:rsidRPr="001A0468">
        <w:rPr>
          <w:i/>
        </w:rPr>
        <w:t>barstar</w:t>
      </w:r>
      <w:r w:rsidRPr="001A0468">
        <w:t xml:space="preserve"> cassette </w:t>
      </w:r>
    </w:p>
    <w:p w14:paraId="6CD4AC64" w14:textId="77777777" w:rsidR="0033454E" w:rsidRPr="001A0468" w:rsidRDefault="0033454E" w:rsidP="0033454E">
      <w:pPr>
        <w:rPr>
          <w:color w:val="000000" w:themeColor="text1"/>
        </w:rPr>
      </w:pPr>
      <w:r w:rsidRPr="001A0468">
        <w:rPr>
          <w:color w:val="000000" w:themeColor="text1"/>
        </w:rPr>
        <w:t xml:space="preserve">The </w:t>
      </w:r>
      <w:r w:rsidRPr="001A0468">
        <w:rPr>
          <w:i/>
          <w:color w:val="000000" w:themeColor="text1"/>
        </w:rPr>
        <w:t>barstar</w:t>
      </w:r>
      <w:r w:rsidRPr="001A0468">
        <w:rPr>
          <w:color w:val="000000" w:themeColor="text1"/>
        </w:rPr>
        <w:t xml:space="preserve"> gene is controlled by the </w:t>
      </w:r>
      <w:r>
        <w:rPr>
          <w:color w:val="000000" w:themeColor="text1"/>
        </w:rPr>
        <w:t xml:space="preserve">constitutive </w:t>
      </w:r>
      <w:r w:rsidRPr="001A0468">
        <w:rPr>
          <w:i/>
          <w:color w:val="000000" w:themeColor="text1"/>
        </w:rPr>
        <w:t>nos</w:t>
      </w:r>
      <w:r w:rsidRPr="001A0468">
        <w:rPr>
          <w:color w:val="000000" w:themeColor="text1"/>
        </w:rPr>
        <w:t xml:space="preserve"> promoter from </w:t>
      </w:r>
      <w:r w:rsidRPr="001A0468">
        <w:rPr>
          <w:i/>
          <w:color w:val="000000" w:themeColor="text1"/>
        </w:rPr>
        <w:t>A. tumefaciens</w:t>
      </w:r>
      <w:r w:rsidRPr="001A0468">
        <w:rPr>
          <w:color w:val="000000" w:themeColor="text1"/>
        </w:rPr>
        <w:t xml:space="preserve">. The terminator for this gene is the same as used for the </w:t>
      </w:r>
      <w:r w:rsidRPr="001A0468">
        <w:rPr>
          <w:i/>
          <w:color w:val="000000" w:themeColor="text1"/>
        </w:rPr>
        <w:t xml:space="preserve">bar </w:t>
      </w:r>
      <w:r w:rsidRPr="001A0468">
        <w:rPr>
          <w:color w:val="000000" w:themeColor="text1"/>
        </w:rPr>
        <w:t>gene.</w:t>
      </w:r>
    </w:p>
    <w:p w14:paraId="35E664E6" w14:textId="5D2F2881" w:rsidR="0033454E" w:rsidRPr="001A0468" w:rsidRDefault="0093373F" w:rsidP="0033454E">
      <w:pPr>
        <w:pStyle w:val="Heading2"/>
        <w:rPr>
          <w:color w:val="000000" w:themeColor="text1"/>
        </w:rPr>
      </w:pPr>
      <w:bookmarkStart w:id="22" w:name="_Toc481491430"/>
      <w:r>
        <w:rPr>
          <w:color w:val="000000" w:themeColor="text1"/>
        </w:rPr>
        <w:t>3.3</w:t>
      </w:r>
      <w:r w:rsidR="0033454E" w:rsidRPr="001A0468">
        <w:rPr>
          <w:color w:val="000000" w:themeColor="text1"/>
        </w:rPr>
        <w:tab/>
        <w:t xml:space="preserve">Breeding of </w:t>
      </w:r>
      <w:r w:rsidR="0033454E">
        <w:rPr>
          <w:color w:val="000000" w:themeColor="text1"/>
        </w:rPr>
        <w:t>MS11</w:t>
      </w:r>
      <w:bookmarkEnd w:id="22"/>
    </w:p>
    <w:p w14:paraId="62B9AD09" w14:textId="77777777" w:rsidR="0033454E" w:rsidRPr="007C0BDD" w:rsidRDefault="0033454E" w:rsidP="0033454E">
      <w:pPr>
        <w:widowControl/>
        <w:autoSpaceDE w:val="0"/>
        <w:autoSpaceDN w:val="0"/>
        <w:adjustRightInd w:val="0"/>
        <w:rPr>
          <w:rFonts w:cs="Arial"/>
          <w:color w:val="000000" w:themeColor="text1"/>
          <w:szCs w:val="22"/>
          <w:lang w:eastAsia="en-GB" w:bidi="ar-SA"/>
        </w:rPr>
      </w:pPr>
      <w:r w:rsidRPr="007C0BDD">
        <w:rPr>
          <w:rFonts w:cs="Arial"/>
          <w:color w:val="000000" w:themeColor="text1"/>
          <w:szCs w:val="22"/>
          <w:lang w:eastAsia="en-GB" w:bidi="ar-SA"/>
        </w:rPr>
        <w:t xml:space="preserve">Three breeding </w:t>
      </w:r>
      <w:r w:rsidRPr="009534F8">
        <w:rPr>
          <w:rFonts w:cs="Arial"/>
          <w:color w:val="000000" w:themeColor="text1"/>
          <w:szCs w:val="22"/>
          <w:lang w:eastAsia="en-GB" w:bidi="ar-SA"/>
        </w:rPr>
        <w:t>strategies (Figure 3) were</w:t>
      </w:r>
      <w:r w:rsidRPr="007C0BDD">
        <w:rPr>
          <w:rFonts w:cs="Arial"/>
          <w:color w:val="000000" w:themeColor="text1"/>
          <w:szCs w:val="22"/>
          <w:lang w:eastAsia="en-GB" w:bidi="ar-SA"/>
        </w:rPr>
        <w:t xml:space="preserve"> followed for the development of the MS11 event and its introgression into various </w:t>
      </w:r>
      <w:r w:rsidRPr="007C0BDD">
        <w:rPr>
          <w:rFonts w:cs="Arial"/>
          <w:i/>
          <w:color w:val="000000" w:themeColor="text1"/>
          <w:szCs w:val="22"/>
          <w:lang w:eastAsia="en-GB" w:bidi="ar-SA"/>
        </w:rPr>
        <w:t>B. napus</w:t>
      </w:r>
      <w:r w:rsidRPr="007C0BDD">
        <w:rPr>
          <w:rFonts w:cs="Arial"/>
          <w:color w:val="000000" w:themeColor="text1"/>
          <w:szCs w:val="22"/>
          <w:lang w:eastAsia="en-GB" w:bidi="ar-SA"/>
        </w:rPr>
        <w:t xml:space="preserve"> germplasm.</w:t>
      </w:r>
    </w:p>
    <w:p w14:paraId="0830182D" w14:textId="77777777" w:rsidR="0033454E" w:rsidRPr="007C0BDD" w:rsidRDefault="0033454E" w:rsidP="0033454E">
      <w:pPr>
        <w:widowControl/>
        <w:autoSpaceDE w:val="0"/>
        <w:autoSpaceDN w:val="0"/>
        <w:adjustRightInd w:val="0"/>
        <w:rPr>
          <w:rFonts w:cs="Arial"/>
          <w:color w:val="000000" w:themeColor="text1"/>
          <w:szCs w:val="22"/>
          <w:lang w:eastAsia="en-GB" w:bidi="ar-SA"/>
        </w:rPr>
      </w:pPr>
    </w:p>
    <w:p w14:paraId="381C2B06" w14:textId="36E2AEAE" w:rsidR="0033454E" w:rsidRDefault="0033454E" w:rsidP="00AD4317">
      <w:pPr>
        <w:pStyle w:val="FSBullet1"/>
        <w:rPr>
          <w:lang w:eastAsia="en-GB"/>
        </w:rPr>
      </w:pPr>
      <w:r w:rsidRPr="007C0BDD">
        <w:rPr>
          <w:lang w:eastAsia="en-GB"/>
        </w:rPr>
        <w:t>T</w:t>
      </w:r>
      <w:r w:rsidRPr="007C0BDD">
        <w:rPr>
          <w:vertAlign w:val="subscript"/>
          <w:lang w:eastAsia="en-GB"/>
        </w:rPr>
        <w:t>0</w:t>
      </w:r>
      <w:r w:rsidRPr="007C0BDD">
        <w:rPr>
          <w:lang w:eastAsia="en-GB"/>
        </w:rPr>
        <w:t xml:space="preserve"> hemizygous MS11 </w:t>
      </w:r>
      <w:r w:rsidRPr="007C0BDD">
        <w:rPr>
          <w:i/>
          <w:iCs/>
          <w:lang w:eastAsia="en-GB"/>
        </w:rPr>
        <w:t xml:space="preserve">B. napus </w:t>
      </w:r>
      <w:r w:rsidRPr="007C0BDD">
        <w:rPr>
          <w:lang w:eastAsia="en-GB"/>
        </w:rPr>
        <w:t>plants were cross-pollinated with non-genetically modified (non-GM) plants (N90-740 variety) to produce the T</w:t>
      </w:r>
      <w:r w:rsidRPr="007C0BDD">
        <w:rPr>
          <w:vertAlign w:val="subscript"/>
          <w:lang w:eastAsia="en-GB"/>
        </w:rPr>
        <w:t>1</w:t>
      </w:r>
      <w:r w:rsidRPr="007C0BDD">
        <w:rPr>
          <w:lang w:eastAsia="en-GB"/>
        </w:rPr>
        <w:t xml:space="preserve"> generation. MS11 </w:t>
      </w:r>
      <w:r w:rsidRPr="007C0BDD">
        <w:rPr>
          <w:i/>
          <w:iCs/>
          <w:lang w:eastAsia="en-GB"/>
        </w:rPr>
        <w:t xml:space="preserve">B. napus </w:t>
      </w:r>
      <w:r w:rsidRPr="007C0BDD">
        <w:rPr>
          <w:lang w:eastAsia="en-GB"/>
        </w:rPr>
        <w:t>hemizygous plants from the T</w:t>
      </w:r>
      <w:r w:rsidRPr="007C0BDD">
        <w:rPr>
          <w:vertAlign w:val="subscript"/>
          <w:lang w:eastAsia="en-GB"/>
        </w:rPr>
        <w:t>1</w:t>
      </w:r>
      <w:r w:rsidRPr="007C0BDD">
        <w:rPr>
          <w:lang w:eastAsia="en-GB"/>
        </w:rPr>
        <w:t xml:space="preserve"> generation were cross-pollinated with non-GM plants (N90-740 variety) to produce the T</w:t>
      </w:r>
      <w:r w:rsidRPr="007C0BDD">
        <w:rPr>
          <w:vertAlign w:val="subscript"/>
          <w:lang w:eastAsia="en-GB"/>
        </w:rPr>
        <w:t>2</w:t>
      </w:r>
      <w:r w:rsidRPr="007C0BDD">
        <w:rPr>
          <w:lang w:eastAsia="en-GB"/>
        </w:rPr>
        <w:t xml:space="preserve"> generation. The process of crossing MS11 </w:t>
      </w:r>
      <w:r w:rsidRPr="007C0BDD">
        <w:rPr>
          <w:i/>
          <w:iCs/>
          <w:lang w:eastAsia="en-GB"/>
        </w:rPr>
        <w:t xml:space="preserve">B. napus </w:t>
      </w:r>
      <w:r w:rsidRPr="007C0BDD">
        <w:rPr>
          <w:lang w:eastAsia="en-GB"/>
        </w:rPr>
        <w:t>hemizygous plants with non-GM plants (N90-740 variety) was repeated to produce the T</w:t>
      </w:r>
      <w:r w:rsidRPr="007C0BDD">
        <w:rPr>
          <w:vertAlign w:val="subscript"/>
          <w:lang w:eastAsia="en-GB"/>
        </w:rPr>
        <w:t>3</w:t>
      </w:r>
      <w:r w:rsidRPr="007C0BDD">
        <w:rPr>
          <w:lang w:eastAsia="en-GB"/>
        </w:rPr>
        <w:t>, T</w:t>
      </w:r>
      <w:r w:rsidRPr="007C0BDD">
        <w:rPr>
          <w:vertAlign w:val="subscript"/>
          <w:lang w:eastAsia="en-GB"/>
        </w:rPr>
        <w:t>4</w:t>
      </w:r>
      <w:r w:rsidRPr="007C0BDD">
        <w:rPr>
          <w:lang w:eastAsia="en-GB"/>
        </w:rPr>
        <w:t>, and T</w:t>
      </w:r>
      <w:r w:rsidRPr="007C0BDD">
        <w:rPr>
          <w:vertAlign w:val="subscript"/>
          <w:lang w:eastAsia="en-GB"/>
        </w:rPr>
        <w:t>5</w:t>
      </w:r>
      <w:r w:rsidRPr="007C0BDD">
        <w:rPr>
          <w:lang w:eastAsia="en-GB"/>
        </w:rPr>
        <w:t xml:space="preserve"> generations.</w:t>
      </w:r>
    </w:p>
    <w:p w14:paraId="31541544" w14:textId="77777777" w:rsidR="00E5589F" w:rsidRPr="00E5589F" w:rsidRDefault="00E5589F" w:rsidP="00AD4317">
      <w:pPr>
        <w:rPr>
          <w:lang w:eastAsia="en-GB" w:bidi="ar-SA"/>
        </w:rPr>
      </w:pPr>
    </w:p>
    <w:p w14:paraId="2BAB5342" w14:textId="2037CD66" w:rsidR="0093373F" w:rsidRDefault="0033454E" w:rsidP="00AD4317">
      <w:pPr>
        <w:pStyle w:val="FSBullet1"/>
        <w:rPr>
          <w:lang w:eastAsia="en-GB"/>
        </w:rPr>
      </w:pPr>
      <w:r w:rsidRPr="007C0BDD">
        <w:rPr>
          <w:lang w:eastAsia="en-GB"/>
        </w:rPr>
        <w:t xml:space="preserve">MS11 </w:t>
      </w:r>
      <w:r w:rsidRPr="007C0BDD">
        <w:rPr>
          <w:i/>
          <w:iCs/>
          <w:lang w:eastAsia="en-GB"/>
        </w:rPr>
        <w:t xml:space="preserve">B. napus </w:t>
      </w:r>
      <w:r w:rsidRPr="007C0BDD">
        <w:rPr>
          <w:lang w:eastAsia="en-GB"/>
        </w:rPr>
        <w:t>hemizygous plants from the T</w:t>
      </w:r>
      <w:r w:rsidRPr="007C0BDD">
        <w:rPr>
          <w:vertAlign w:val="subscript"/>
          <w:lang w:eastAsia="en-GB"/>
        </w:rPr>
        <w:t>2</w:t>
      </w:r>
      <w:r w:rsidRPr="007C0BDD">
        <w:rPr>
          <w:lang w:eastAsia="en-GB"/>
        </w:rPr>
        <w:t xml:space="preserve"> </w:t>
      </w:r>
      <w:r>
        <w:rPr>
          <w:lang w:eastAsia="en-GB"/>
        </w:rPr>
        <w:t>generation were</w:t>
      </w:r>
      <w:r w:rsidRPr="007C0BDD">
        <w:rPr>
          <w:lang w:eastAsia="en-GB"/>
        </w:rPr>
        <w:t xml:space="preserve"> cross-pollinated with non-GM plants (B144 variety) creating a</w:t>
      </w:r>
      <w:r>
        <w:rPr>
          <w:lang w:eastAsia="en-GB"/>
        </w:rPr>
        <w:t>n</w:t>
      </w:r>
      <w:r w:rsidRPr="007C0BDD">
        <w:rPr>
          <w:lang w:eastAsia="en-GB"/>
        </w:rPr>
        <w:t xml:space="preserve"> F</w:t>
      </w:r>
      <w:r w:rsidRPr="007C0BDD">
        <w:rPr>
          <w:vertAlign w:val="subscript"/>
          <w:lang w:eastAsia="en-GB"/>
        </w:rPr>
        <w:t>1</w:t>
      </w:r>
      <w:r w:rsidRPr="007C0BDD">
        <w:rPr>
          <w:lang w:eastAsia="en-GB"/>
        </w:rPr>
        <w:t xml:space="preserve"> generation. MS11 </w:t>
      </w:r>
      <w:r w:rsidRPr="007C0BDD">
        <w:rPr>
          <w:i/>
          <w:iCs/>
          <w:lang w:eastAsia="en-GB"/>
        </w:rPr>
        <w:t xml:space="preserve">B. napus </w:t>
      </w:r>
      <w:r w:rsidRPr="007C0BDD">
        <w:rPr>
          <w:lang w:eastAsia="en-GB"/>
        </w:rPr>
        <w:t>hemizygous plants from the F</w:t>
      </w:r>
      <w:r w:rsidRPr="007C0BDD">
        <w:rPr>
          <w:vertAlign w:val="subscript"/>
          <w:lang w:eastAsia="en-GB"/>
        </w:rPr>
        <w:t>1</w:t>
      </w:r>
      <w:r>
        <w:rPr>
          <w:vertAlign w:val="superscript"/>
          <w:lang w:eastAsia="en-GB"/>
        </w:rPr>
        <w:t>*1</w:t>
      </w:r>
      <w:r w:rsidRPr="007C0BDD">
        <w:rPr>
          <w:lang w:eastAsia="en-GB"/>
        </w:rPr>
        <w:t xml:space="preserve"> generation were backcrossed to non-GM plants (B144 variety) to produce a BC</w:t>
      </w:r>
      <w:r w:rsidRPr="007C0BDD">
        <w:rPr>
          <w:vertAlign w:val="subscript"/>
          <w:lang w:eastAsia="en-GB"/>
        </w:rPr>
        <w:t>1</w:t>
      </w:r>
      <w:r>
        <w:rPr>
          <w:vertAlign w:val="superscript"/>
          <w:lang w:eastAsia="en-GB"/>
        </w:rPr>
        <w:t>*1</w:t>
      </w:r>
      <w:r w:rsidRPr="007C0BDD">
        <w:rPr>
          <w:lang w:eastAsia="en-GB"/>
        </w:rPr>
        <w:t xml:space="preserve"> generation. The process of backcrossing MS11 </w:t>
      </w:r>
      <w:r w:rsidRPr="007C0BDD">
        <w:rPr>
          <w:i/>
          <w:iCs/>
          <w:lang w:eastAsia="en-GB"/>
        </w:rPr>
        <w:t xml:space="preserve">B. napus </w:t>
      </w:r>
      <w:r w:rsidRPr="007C0BDD">
        <w:rPr>
          <w:lang w:eastAsia="en-GB"/>
        </w:rPr>
        <w:t>hemizygous plants with non-GM B144 plants was repeated to produce the BC</w:t>
      </w:r>
      <w:r w:rsidRPr="007C0BDD">
        <w:rPr>
          <w:vertAlign w:val="subscript"/>
          <w:lang w:eastAsia="en-GB"/>
        </w:rPr>
        <w:t>2</w:t>
      </w:r>
      <w:r>
        <w:rPr>
          <w:vertAlign w:val="superscript"/>
          <w:lang w:eastAsia="en-GB"/>
        </w:rPr>
        <w:t>*1</w:t>
      </w:r>
      <w:r w:rsidRPr="007C0BDD">
        <w:rPr>
          <w:lang w:eastAsia="en-GB"/>
        </w:rPr>
        <w:t>, BC</w:t>
      </w:r>
      <w:r w:rsidRPr="007C0BDD">
        <w:rPr>
          <w:vertAlign w:val="subscript"/>
          <w:lang w:eastAsia="en-GB"/>
        </w:rPr>
        <w:t>3</w:t>
      </w:r>
      <w:r>
        <w:rPr>
          <w:vertAlign w:val="superscript"/>
          <w:lang w:eastAsia="en-GB"/>
        </w:rPr>
        <w:t>*1</w:t>
      </w:r>
      <w:r w:rsidRPr="007C0BDD">
        <w:rPr>
          <w:lang w:eastAsia="en-GB"/>
        </w:rPr>
        <w:t>, BC</w:t>
      </w:r>
      <w:r w:rsidRPr="007C0BDD">
        <w:rPr>
          <w:vertAlign w:val="subscript"/>
          <w:lang w:eastAsia="en-GB"/>
        </w:rPr>
        <w:t>4</w:t>
      </w:r>
      <w:r>
        <w:rPr>
          <w:vertAlign w:val="superscript"/>
          <w:lang w:eastAsia="en-GB"/>
        </w:rPr>
        <w:t>*1</w:t>
      </w:r>
      <w:r w:rsidRPr="007C0BDD">
        <w:rPr>
          <w:lang w:eastAsia="en-GB"/>
        </w:rPr>
        <w:t>, and BC</w:t>
      </w:r>
      <w:r w:rsidRPr="007C0BDD">
        <w:rPr>
          <w:vertAlign w:val="subscript"/>
          <w:lang w:eastAsia="en-GB"/>
        </w:rPr>
        <w:t>5</w:t>
      </w:r>
      <w:r>
        <w:rPr>
          <w:vertAlign w:val="superscript"/>
          <w:lang w:eastAsia="en-GB"/>
        </w:rPr>
        <w:t>*1</w:t>
      </w:r>
      <w:r w:rsidRPr="007C0BDD">
        <w:rPr>
          <w:lang w:eastAsia="en-GB"/>
        </w:rPr>
        <w:t xml:space="preserve"> generations.</w:t>
      </w:r>
      <w:r w:rsidR="0093373F">
        <w:rPr>
          <w:lang w:eastAsia="en-GB"/>
        </w:rPr>
        <w:br w:type="page"/>
      </w:r>
    </w:p>
    <w:p w14:paraId="17CF856B" w14:textId="77777777" w:rsidR="0033454E" w:rsidRPr="007C0BDD" w:rsidRDefault="0033454E" w:rsidP="0093373F">
      <w:pPr>
        <w:pStyle w:val="FSBullet1"/>
        <w:numPr>
          <w:ilvl w:val="0"/>
          <w:numId w:val="0"/>
        </w:numPr>
        <w:ind w:left="567"/>
        <w:rPr>
          <w:lang w:eastAsia="en-GB"/>
        </w:rPr>
      </w:pPr>
    </w:p>
    <w:p w14:paraId="0114E7F8" w14:textId="21F576BA" w:rsidR="0033454E" w:rsidRPr="0093373F" w:rsidRDefault="0033454E" w:rsidP="0033454E">
      <w:pPr>
        <w:pStyle w:val="ListParagraph"/>
        <w:widowControl/>
        <w:numPr>
          <w:ilvl w:val="0"/>
          <w:numId w:val="5"/>
        </w:numPr>
        <w:autoSpaceDE w:val="0"/>
        <w:autoSpaceDN w:val="0"/>
        <w:adjustRightInd w:val="0"/>
        <w:ind w:left="567" w:hanging="567"/>
        <w:rPr>
          <w:rFonts w:cs="Arial"/>
          <w:color w:val="000000" w:themeColor="text1"/>
          <w:szCs w:val="22"/>
          <w:lang w:eastAsia="en-GB" w:bidi="ar-SA"/>
        </w:rPr>
      </w:pPr>
      <w:r w:rsidRPr="007C0BDD">
        <w:rPr>
          <w:rFonts w:cs="Arial"/>
          <w:color w:val="000000" w:themeColor="text1"/>
          <w:szCs w:val="22"/>
          <w:lang w:eastAsia="en-GB" w:bidi="ar-SA"/>
        </w:rPr>
        <w:t xml:space="preserve">MS11 </w:t>
      </w:r>
      <w:r w:rsidRPr="007C0BDD">
        <w:rPr>
          <w:rFonts w:cs="Arial"/>
          <w:i/>
          <w:iCs/>
          <w:color w:val="000000" w:themeColor="text1"/>
          <w:szCs w:val="22"/>
          <w:lang w:eastAsia="en-GB" w:bidi="ar-SA"/>
        </w:rPr>
        <w:t xml:space="preserve">B. napus </w:t>
      </w:r>
      <w:r w:rsidRPr="007C0BDD">
        <w:rPr>
          <w:rFonts w:cs="Arial"/>
          <w:color w:val="000000" w:themeColor="text1"/>
          <w:szCs w:val="22"/>
          <w:lang w:eastAsia="en-GB" w:bidi="ar-SA"/>
        </w:rPr>
        <w:t>hemizygous plants from the T</w:t>
      </w:r>
      <w:r w:rsidRPr="007C0BDD">
        <w:rPr>
          <w:rFonts w:cs="Arial"/>
          <w:color w:val="000000" w:themeColor="text1"/>
          <w:szCs w:val="22"/>
          <w:vertAlign w:val="subscript"/>
          <w:lang w:eastAsia="en-GB" w:bidi="ar-SA"/>
        </w:rPr>
        <w:t>2</w:t>
      </w:r>
      <w:r w:rsidRPr="007C0BDD">
        <w:rPr>
          <w:rFonts w:cs="Arial"/>
          <w:color w:val="000000" w:themeColor="text1"/>
          <w:szCs w:val="22"/>
          <w:lang w:eastAsia="en-GB" w:bidi="ar-SA"/>
        </w:rPr>
        <w:t xml:space="preserve"> generation were also cross-pollinated with non-GM plants (Ebony variety) creating a F</w:t>
      </w:r>
      <w:r w:rsidRPr="001103D0">
        <w:rPr>
          <w:rFonts w:cs="Arial"/>
          <w:color w:val="000000" w:themeColor="text1"/>
          <w:szCs w:val="22"/>
          <w:vertAlign w:val="subscript"/>
          <w:lang w:eastAsia="en-GB" w:bidi="ar-SA"/>
        </w:rPr>
        <w:t>1</w:t>
      </w:r>
      <w:r>
        <w:rPr>
          <w:rFonts w:cs="Arial"/>
          <w:color w:val="000000" w:themeColor="text1"/>
          <w:szCs w:val="22"/>
          <w:vertAlign w:val="superscript"/>
          <w:lang w:eastAsia="en-GB" w:bidi="ar-SA"/>
        </w:rPr>
        <w:t>*2</w:t>
      </w:r>
      <w:r w:rsidRPr="007C0BDD">
        <w:rPr>
          <w:rFonts w:cs="Arial"/>
          <w:color w:val="000000" w:themeColor="text1"/>
          <w:szCs w:val="22"/>
          <w:lang w:eastAsia="en-GB" w:bidi="ar-SA"/>
        </w:rPr>
        <w:t xml:space="preserve"> generation. MS11 </w:t>
      </w:r>
      <w:r w:rsidRPr="007C0BDD">
        <w:rPr>
          <w:rFonts w:cs="Arial"/>
          <w:i/>
          <w:iCs/>
          <w:color w:val="000000" w:themeColor="text1"/>
          <w:szCs w:val="22"/>
          <w:lang w:eastAsia="en-GB" w:bidi="ar-SA"/>
        </w:rPr>
        <w:t xml:space="preserve">B. napus </w:t>
      </w:r>
      <w:r w:rsidRPr="007C0BDD">
        <w:rPr>
          <w:rFonts w:cs="Arial"/>
          <w:color w:val="000000" w:themeColor="text1"/>
          <w:szCs w:val="22"/>
          <w:lang w:eastAsia="en-GB" w:bidi="ar-SA"/>
        </w:rPr>
        <w:t>hemizygous plants from the F</w:t>
      </w:r>
      <w:r w:rsidRPr="001103D0">
        <w:rPr>
          <w:rFonts w:cs="Arial"/>
          <w:color w:val="000000" w:themeColor="text1"/>
          <w:szCs w:val="22"/>
          <w:vertAlign w:val="subscript"/>
          <w:lang w:eastAsia="en-GB" w:bidi="ar-SA"/>
        </w:rPr>
        <w:t>1</w:t>
      </w:r>
      <w:r w:rsidRPr="007C0BDD">
        <w:rPr>
          <w:rFonts w:cs="Arial"/>
          <w:color w:val="000000" w:themeColor="text1"/>
          <w:szCs w:val="22"/>
          <w:lang w:eastAsia="en-GB" w:bidi="ar-SA"/>
        </w:rPr>
        <w:t xml:space="preserve"> generation were backcrossed to non-GM plants (Ebony variety) to produce a BC</w:t>
      </w:r>
      <w:r w:rsidRPr="001103D0">
        <w:rPr>
          <w:rFonts w:cs="Arial"/>
          <w:color w:val="000000" w:themeColor="text1"/>
          <w:szCs w:val="22"/>
          <w:vertAlign w:val="subscript"/>
          <w:lang w:eastAsia="en-GB" w:bidi="ar-SA"/>
        </w:rPr>
        <w:t>1</w:t>
      </w:r>
      <w:r>
        <w:rPr>
          <w:rFonts w:cs="Arial"/>
          <w:color w:val="000000" w:themeColor="text1"/>
          <w:szCs w:val="22"/>
          <w:vertAlign w:val="superscript"/>
          <w:lang w:eastAsia="en-GB" w:bidi="ar-SA"/>
        </w:rPr>
        <w:t>*2</w:t>
      </w:r>
      <w:r w:rsidRPr="007C0BDD">
        <w:rPr>
          <w:rFonts w:cs="Arial"/>
          <w:color w:val="000000" w:themeColor="text1"/>
          <w:szCs w:val="22"/>
          <w:lang w:eastAsia="en-GB" w:bidi="ar-SA"/>
        </w:rPr>
        <w:t xml:space="preserve"> generation. The process of backcrossing MS11 </w:t>
      </w:r>
      <w:r w:rsidRPr="007C0BDD">
        <w:rPr>
          <w:rFonts w:cs="Arial"/>
          <w:i/>
          <w:iCs/>
          <w:color w:val="000000" w:themeColor="text1"/>
          <w:szCs w:val="22"/>
          <w:lang w:eastAsia="en-GB" w:bidi="ar-SA"/>
        </w:rPr>
        <w:t xml:space="preserve">B. napus </w:t>
      </w:r>
      <w:r w:rsidRPr="007C0BDD">
        <w:rPr>
          <w:rFonts w:cs="Arial"/>
          <w:color w:val="000000" w:themeColor="text1"/>
          <w:szCs w:val="22"/>
          <w:lang w:eastAsia="en-GB" w:bidi="ar-SA"/>
        </w:rPr>
        <w:t>hemizygous plants with non-GM plants (Ebony variety) was repeated to produce a BC</w:t>
      </w:r>
      <w:r w:rsidRPr="001103D0">
        <w:rPr>
          <w:rFonts w:cs="Arial"/>
          <w:color w:val="000000" w:themeColor="text1"/>
          <w:szCs w:val="22"/>
          <w:vertAlign w:val="subscript"/>
          <w:lang w:eastAsia="en-GB" w:bidi="ar-SA"/>
        </w:rPr>
        <w:t>2</w:t>
      </w:r>
      <w:r>
        <w:rPr>
          <w:rFonts w:cs="Arial"/>
          <w:color w:val="000000" w:themeColor="text1"/>
          <w:szCs w:val="22"/>
          <w:vertAlign w:val="superscript"/>
          <w:lang w:eastAsia="en-GB" w:bidi="ar-SA"/>
        </w:rPr>
        <w:t>*2</w:t>
      </w:r>
      <w:r w:rsidRPr="007C0BDD">
        <w:rPr>
          <w:rFonts w:cs="Arial"/>
          <w:color w:val="000000" w:themeColor="text1"/>
          <w:szCs w:val="22"/>
          <w:lang w:eastAsia="en-GB" w:bidi="ar-SA"/>
        </w:rPr>
        <w:t xml:space="preserve"> generation.</w:t>
      </w:r>
    </w:p>
    <w:p w14:paraId="1A13CEDE" w14:textId="3BE74950" w:rsidR="0033454E" w:rsidRDefault="0033454E" w:rsidP="0033454E">
      <w:pPr>
        <w:keepNext/>
        <w:widowControl/>
        <w:autoSpaceDE w:val="0"/>
        <w:autoSpaceDN w:val="0"/>
        <w:adjustRightInd w:val="0"/>
        <w:jc w:val="center"/>
      </w:pPr>
    </w:p>
    <w:p w14:paraId="42DD864C" w14:textId="77777777" w:rsidR="00AD4317" w:rsidRDefault="00AD4317" w:rsidP="00AD4317">
      <w:pPr>
        <w:pStyle w:val="FSFigureTitle"/>
        <w:jc w:val="center"/>
        <w:rPr>
          <w:color w:val="000000" w:themeColor="text1"/>
        </w:rPr>
      </w:pPr>
      <w:r>
        <w:rPr>
          <w:rFonts w:ascii="ArialMT" w:hAnsi="ArialMT" w:cs="ArialMT"/>
          <w:noProof/>
          <w:sz w:val="20"/>
          <w:szCs w:val="20"/>
          <w:lang w:eastAsia="en-GB" w:bidi="ar-SA"/>
        </w:rPr>
        <w:drawing>
          <wp:inline distT="0" distB="0" distL="0" distR="0" wp14:anchorId="6082809A" wp14:editId="098C7701">
            <wp:extent cx="1675433" cy="39624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4152" cy="3983021"/>
                    </a:xfrm>
                    <a:prstGeom prst="rect">
                      <a:avLst/>
                    </a:prstGeom>
                    <a:noFill/>
                    <a:ln>
                      <a:noFill/>
                    </a:ln>
                  </pic:spPr>
                </pic:pic>
              </a:graphicData>
            </a:graphic>
          </wp:inline>
        </w:drawing>
      </w:r>
      <w:bookmarkStart w:id="23" w:name="_Toc480537710"/>
    </w:p>
    <w:p w14:paraId="18799BD4" w14:textId="4775E109" w:rsidR="0033454E" w:rsidRPr="00B046B6" w:rsidRDefault="0033454E" w:rsidP="00AD4317">
      <w:pPr>
        <w:pStyle w:val="FSFigureTitle"/>
        <w:jc w:val="center"/>
        <w:rPr>
          <w:rFonts w:ascii="ArialMT" w:hAnsi="ArialMT" w:cs="ArialMT"/>
          <w:color w:val="000000" w:themeColor="text1"/>
          <w:sz w:val="20"/>
          <w:szCs w:val="20"/>
          <w:lang w:eastAsia="en-GB" w:bidi="ar-SA"/>
        </w:rPr>
      </w:pPr>
      <w:r w:rsidRPr="00B046B6">
        <w:rPr>
          <w:color w:val="000000" w:themeColor="text1"/>
        </w:rPr>
        <w:t xml:space="preserve">Figure </w:t>
      </w:r>
      <w:r w:rsidRPr="00B046B6">
        <w:rPr>
          <w:color w:val="000000" w:themeColor="text1"/>
        </w:rPr>
        <w:fldChar w:fldCharType="begin"/>
      </w:r>
      <w:r w:rsidRPr="00B046B6">
        <w:rPr>
          <w:color w:val="000000" w:themeColor="text1"/>
        </w:rPr>
        <w:instrText xml:space="preserve"> SEQ Figure \* ARABIC </w:instrText>
      </w:r>
      <w:r w:rsidRPr="00B046B6">
        <w:rPr>
          <w:color w:val="000000" w:themeColor="text1"/>
        </w:rPr>
        <w:fldChar w:fldCharType="separate"/>
      </w:r>
      <w:r w:rsidR="007D76F3">
        <w:rPr>
          <w:noProof/>
          <w:color w:val="000000" w:themeColor="text1"/>
        </w:rPr>
        <w:t>3</w:t>
      </w:r>
      <w:r w:rsidRPr="00B046B6">
        <w:rPr>
          <w:color w:val="000000" w:themeColor="text1"/>
        </w:rPr>
        <w:fldChar w:fldCharType="end"/>
      </w:r>
      <w:r w:rsidRPr="00B046B6">
        <w:rPr>
          <w:color w:val="000000" w:themeColor="text1"/>
        </w:rPr>
        <w:t>: Breeding tree for MS11</w:t>
      </w:r>
      <w:bookmarkEnd w:id="23"/>
    </w:p>
    <w:p w14:paraId="0C5BC3A3" w14:textId="77777777" w:rsidR="0033454E" w:rsidRPr="00B046B6" w:rsidRDefault="0033454E" w:rsidP="00AD4317">
      <w:pPr>
        <w:widowControl/>
        <w:autoSpaceDE w:val="0"/>
        <w:autoSpaceDN w:val="0"/>
        <w:adjustRightInd w:val="0"/>
        <w:jc w:val="center"/>
        <w:rPr>
          <w:rFonts w:cs="Arial"/>
          <w:color w:val="000000" w:themeColor="text1"/>
          <w:szCs w:val="22"/>
          <w:lang w:eastAsia="en-GB" w:bidi="ar-SA"/>
        </w:rPr>
      </w:pPr>
    </w:p>
    <w:p w14:paraId="376CF51B" w14:textId="77777777" w:rsidR="0033454E" w:rsidRPr="009534F8" w:rsidRDefault="0033454E" w:rsidP="0033454E">
      <w:pPr>
        <w:widowControl/>
        <w:autoSpaceDE w:val="0"/>
        <w:autoSpaceDN w:val="0"/>
        <w:adjustRightInd w:val="0"/>
        <w:rPr>
          <w:rFonts w:cs="Arial"/>
          <w:color w:val="000000" w:themeColor="text1"/>
          <w:szCs w:val="22"/>
          <w:lang w:eastAsia="en-GB" w:bidi="ar-SA"/>
        </w:rPr>
      </w:pPr>
      <w:r w:rsidRPr="009534F8">
        <w:rPr>
          <w:rFonts w:cs="Arial"/>
          <w:color w:val="000000" w:themeColor="text1"/>
          <w:szCs w:val="22"/>
          <w:lang w:eastAsia="en-GB" w:bidi="ar-SA"/>
        </w:rPr>
        <w:t>The generations and controls used for various analyses described in this report are given in Table 2.</w:t>
      </w:r>
    </w:p>
    <w:p w14:paraId="6A03E76F" w14:textId="77777777" w:rsidR="0033454E" w:rsidRPr="009534F8" w:rsidRDefault="0033454E">
      <w:pPr>
        <w:widowControl/>
        <w:rPr>
          <w:rFonts w:ascii="Arial Bold" w:hAnsi="Arial Bold" w:cs="Arial"/>
          <w:b/>
          <w:color w:val="000000" w:themeColor="text1"/>
          <w:szCs w:val="22"/>
        </w:rPr>
      </w:pPr>
    </w:p>
    <w:p w14:paraId="32D26EA8" w14:textId="77777777" w:rsidR="0033454E" w:rsidRPr="00C63B93" w:rsidRDefault="0033454E" w:rsidP="00AD4317">
      <w:bookmarkStart w:id="24" w:name="_Toc481574637"/>
      <w:r w:rsidRPr="00AD4317">
        <w:rPr>
          <w:b/>
        </w:rPr>
        <w:t xml:space="preserve">Table </w:t>
      </w:r>
      <w:r w:rsidRPr="00AD4317">
        <w:rPr>
          <w:b/>
        </w:rPr>
        <w:fldChar w:fldCharType="begin"/>
      </w:r>
      <w:r w:rsidRPr="00AD4317">
        <w:rPr>
          <w:b/>
        </w:rPr>
        <w:instrText xml:space="preserve"> SEQ Table \* ARABIC </w:instrText>
      </w:r>
      <w:r w:rsidRPr="00AD4317">
        <w:rPr>
          <w:b/>
        </w:rPr>
        <w:fldChar w:fldCharType="separate"/>
      </w:r>
      <w:r w:rsidR="007D76F3" w:rsidRPr="00AD4317">
        <w:rPr>
          <w:b/>
          <w:noProof/>
        </w:rPr>
        <w:t>2</w:t>
      </w:r>
      <w:r w:rsidRPr="00AD4317">
        <w:rPr>
          <w:b/>
        </w:rPr>
        <w:fldChar w:fldCharType="end"/>
      </w:r>
      <w:r w:rsidRPr="00AD4317">
        <w:rPr>
          <w:b/>
        </w:rPr>
        <w:t>: MS11 generations used for various analyses</w:t>
      </w:r>
      <w:bookmarkEnd w:id="24"/>
    </w:p>
    <w:p w14:paraId="4DEBFAFF" w14:textId="77777777" w:rsidR="0033454E" w:rsidRPr="009534F8" w:rsidRDefault="0033454E" w:rsidP="0033454E">
      <w:pPr>
        <w:pStyle w:val="FSTableHeading"/>
        <w:jc w:val="left"/>
        <w:rPr>
          <w:color w:val="000000" w:themeColor="text1"/>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138"/>
        <w:gridCol w:w="2405"/>
        <w:gridCol w:w="2018"/>
      </w:tblGrid>
      <w:tr w:rsidR="0033454E" w:rsidRPr="00E5589F" w14:paraId="3B212AAA" w14:textId="77777777" w:rsidTr="0093373F">
        <w:trPr>
          <w:tblHeader/>
        </w:trPr>
        <w:tc>
          <w:tcPr>
            <w:tcW w:w="2511" w:type="dxa"/>
            <w:shd w:val="clear" w:color="auto" w:fill="9BBB59" w:themeFill="accent3"/>
            <w:vAlign w:val="center"/>
          </w:tcPr>
          <w:p w14:paraId="7108EBEA" w14:textId="77777777" w:rsidR="0033454E" w:rsidRPr="00AD4317" w:rsidRDefault="0033454E" w:rsidP="0033454E">
            <w:pPr>
              <w:rPr>
                <w:b/>
                <w:bCs/>
                <w:iCs/>
                <w:color w:val="FFFFFF" w:themeColor="background1"/>
                <w:sz w:val="20"/>
                <w:lang w:val="en-AU"/>
              </w:rPr>
            </w:pPr>
            <w:r w:rsidRPr="00AD4317">
              <w:rPr>
                <w:b/>
                <w:bCs/>
                <w:iCs/>
                <w:color w:val="FFFFFF" w:themeColor="background1"/>
                <w:sz w:val="20"/>
                <w:lang w:val="en-AU"/>
              </w:rPr>
              <w:t>Analysis</w:t>
            </w:r>
          </w:p>
        </w:tc>
        <w:tc>
          <w:tcPr>
            <w:tcW w:w="2138" w:type="dxa"/>
            <w:shd w:val="clear" w:color="auto" w:fill="9BBB59" w:themeFill="accent3"/>
            <w:vAlign w:val="center"/>
          </w:tcPr>
          <w:p w14:paraId="7E4F63B2" w14:textId="77777777" w:rsidR="0033454E" w:rsidRPr="00AD4317" w:rsidRDefault="0033454E" w:rsidP="0033454E">
            <w:pPr>
              <w:rPr>
                <w:b/>
                <w:bCs/>
                <w:iCs/>
                <w:color w:val="FFFFFF" w:themeColor="background1"/>
                <w:sz w:val="20"/>
                <w:lang w:val="en-AU"/>
              </w:rPr>
            </w:pPr>
            <w:r w:rsidRPr="00AD4317">
              <w:rPr>
                <w:b/>
                <w:bCs/>
                <w:iCs/>
                <w:color w:val="FFFFFF" w:themeColor="background1"/>
                <w:sz w:val="20"/>
                <w:lang w:val="en-AU"/>
              </w:rPr>
              <w:t>MS11 generation(s) used</w:t>
            </w:r>
          </w:p>
        </w:tc>
        <w:tc>
          <w:tcPr>
            <w:tcW w:w="2405" w:type="dxa"/>
            <w:shd w:val="clear" w:color="auto" w:fill="9BBB59" w:themeFill="accent3"/>
            <w:vAlign w:val="center"/>
          </w:tcPr>
          <w:p w14:paraId="46B08EE3" w14:textId="77777777" w:rsidR="0033454E" w:rsidRPr="00AD4317" w:rsidRDefault="0033454E" w:rsidP="0033454E">
            <w:pPr>
              <w:rPr>
                <w:b/>
                <w:bCs/>
                <w:iCs/>
                <w:color w:val="FFFFFF" w:themeColor="background1"/>
                <w:sz w:val="20"/>
                <w:lang w:val="en-AU"/>
              </w:rPr>
            </w:pPr>
            <w:r w:rsidRPr="00AD4317">
              <w:rPr>
                <w:b/>
                <w:bCs/>
                <w:iCs/>
                <w:color w:val="FFFFFF" w:themeColor="background1"/>
                <w:sz w:val="20"/>
                <w:lang w:val="en-AU"/>
              </w:rPr>
              <w:t>Control(s) used</w:t>
            </w:r>
          </w:p>
        </w:tc>
        <w:tc>
          <w:tcPr>
            <w:tcW w:w="2018" w:type="dxa"/>
            <w:shd w:val="clear" w:color="auto" w:fill="9BBB59" w:themeFill="accent3"/>
            <w:vAlign w:val="center"/>
          </w:tcPr>
          <w:p w14:paraId="7E66719A" w14:textId="77777777" w:rsidR="0033454E" w:rsidRPr="00AD4317" w:rsidRDefault="0033454E" w:rsidP="0033454E">
            <w:pPr>
              <w:rPr>
                <w:b/>
                <w:bCs/>
                <w:iCs/>
                <w:color w:val="FFFFFF" w:themeColor="background1"/>
                <w:sz w:val="20"/>
                <w:lang w:val="en-AU"/>
              </w:rPr>
            </w:pPr>
            <w:r w:rsidRPr="00AD4317">
              <w:rPr>
                <w:b/>
                <w:bCs/>
                <w:iCs/>
                <w:color w:val="FFFFFF" w:themeColor="background1"/>
                <w:sz w:val="20"/>
                <w:lang w:val="en-AU"/>
              </w:rPr>
              <w:t>Reference material</w:t>
            </w:r>
          </w:p>
        </w:tc>
      </w:tr>
      <w:tr w:rsidR="0033454E" w:rsidRPr="009534F8" w14:paraId="472D9702" w14:textId="77777777" w:rsidTr="0093373F">
        <w:tc>
          <w:tcPr>
            <w:tcW w:w="2511" w:type="dxa"/>
            <w:vAlign w:val="center"/>
          </w:tcPr>
          <w:p w14:paraId="026E900E"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 xml:space="preserve">Molecular characterisation </w:t>
            </w:r>
          </w:p>
          <w:p w14:paraId="669929D2"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(Section 3.4.)</w:t>
            </w:r>
          </w:p>
        </w:tc>
        <w:tc>
          <w:tcPr>
            <w:tcW w:w="2138" w:type="dxa"/>
            <w:vAlign w:val="center"/>
          </w:tcPr>
          <w:p w14:paraId="1CE65B19" w14:textId="77777777" w:rsidR="0033454E" w:rsidRPr="009534F8" w:rsidRDefault="0033454E" w:rsidP="0033454E">
            <w:pPr>
              <w:rPr>
                <w:bCs/>
                <w:iCs/>
                <w:color w:val="000000" w:themeColor="text1"/>
                <w:sz w:val="20"/>
                <w:szCs w:val="20"/>
                <w:lang w:val="en-AU"/>
              </w:rPr>
            </w:pPr>
            <w:r w:rsidRPr="009534F8">
              <w:rPr>
                <w:color w:val="000000" w:themeColor="text1"/>
                <w:sz w:val="20"/>
                <w:szCs w:val="20"/>
              </w:rPr>
              <w:t>T</w:t>
            </w:r>
            <w:r w:rsidRPr="009534F8">
              <w:rPr>
                <w:color w:val="000000" w:themeColor="text1"/>
                <w:sz w:val="20"/>
                <w:szCs w:val="20"/>
                <w:vertAlign w:val="subscript"/>
              </w:rPr>
              <w:t>2</w:t>
            </w:r>
            <w:r w:rsidRPr="009534F8">
              <w:rPr>
                <w:color w:val="000000" w:themeColor="text1"/>
                <w:sz w:val="20"/>
                <w:szCs w:val="20"/>
              </w:rPr>
              <w:t>, T</w:t>
            </w:r>
            <w:r w:rsidRPr="009534F8">
              <w:rPr>
                <w:color w:val="000000" w:themeColor="text1"/>
                <w:sz w:val="20"/>
                <w:szCs w:val="20"/>
                <w:vertAlign w:val="subscript"/>
              </w:rPr>
              <w:t>4</w:t>
            </w:r>
          </w:p>
        </w:tc>
        <w:tc>
          <w:tcPr>
            <w:tcW w:w="2405" w:type="dxa"/>
            <w:vAlign w:val="center"/>
          </w:tcPr>
          <w:p w14:paraId="4C419796" w14:textId="77777777" w:rsidR="0033454E" w:rsidRPr="009534F8" w:rsidRDefault="0033454E" w:rsidP="00BD2330">
            <w:pPr>
              <w:pStyle w:val="ListParagraph"/>
              <w:numPr>
                <w:ilvl w:val="0"/>
                <w:numId w:val="7"/>
              </w:numPr>
              <w:ind w:left="171" w:hanging="171"/>
              <w:rPr>
                <w:bCs/>
                <w:iCs/>
                <w:color w:val="000000" w:themeColor="text1"/>
                <w:sz w:val="20"/>
                <w:szCs w:val="20"/>
                <w:lang w:val="en-AU"/>
              </w:rPr>
            </w:pPr>
            <w:r w:rsidRPr="009534F8">
              <w:rPr>
                <w:bCs/>
                <w:iCs/>
                <w:color w:val="000000" w:themeColor="text1"/>
                <w:sz w:val="20"/>
                <w:szCs w:val="20"/>
                <w:lang w:val="en-AU"/>
              </w:rPr>
              <w:t>Non-GM N90-740</w:t>
            </w:r>
          </w:p>
          <w:p w14:paraId="0B61369A" w14:textId="77777777" w:rsidR="0033454E" w:rsidRPr="009534F8" w:rsidRDefault="0033454E" w:rsidP="00BD2330">
            <w:pPr>
              <w:pStyle w:val="ListParagraph"/>
              <w:numPr>
                <w:ilvl w:val="0"/>
                <w:numId w:val="7"/>
              </w:numPr>
              <w:ind w:left="171" w:hanging="171"/>
              <w:rPr>
                <w:bCs/>
                <w:iCs/>
                <w:color w:val="000000" w:themeColor="text1"/>
                <w:sz w:val="20"/>
                <w:szCs w:val="20"/>
                <w:lang w:val="en-AU"/>
              </w:rPr>
            </w:pPr>
            <w:r w:rsidRPr="009534F8">
              <w:rPr>
                <w:bCs/>
                <w:iCs/>
                <w:color w:val="000000" w:themeColor="text1"/>
                <w:sz w:val="20"/>
                <w:szCs w:val="20"/>
                <w:lang w:val="en-AU"/>
              </w:rPr>
              <w:t>Non-GM N90-740 spiked with pTCO113</w:t>
            </w:r>
          </w:p>
        </w:tc>
        <w:tc>
          <w:tcPr>
            <w:tcW w:w="2018" w:type="dxa"/>
            <w:vAlign w:val="center"/>
          </w:tcPr>
          <w:p w14:paraId="2B787502"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Plasmid pTCO113</w:t>
            </w:r>
          </w:p>
        </w:tc>
      </w:tr>
      <w:tr w:rsidR="0033454E" w:rsidRPr="009534F8" w14:paraId="10D95346" w14:textId="77777777" w:rsidTr="0093373F">
        <w:tc>
          <w:tcPr>
            <w:tcW w:w="2511" w:type="dxa"/>
            <w:shd w:val="clear" w:color="auto" w:fill="EAF1DD" w:themeFill="accent3" w:themeFillTint="33"/>
            <w:vAlign w:val="center"/>
          </w:tcPr>
          <w:p w14:paraId="3B06F3EE"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Genetic stability                 (Section 3.5.1)</w:t>
            </w:r>
          </w:p>
        </w:tc>
        <w:tc>
          <w:tcPr>
            <w:tcW w:w="2138" w:type="dxa"/>
            <w:shd w:val="clear" w:color="auto" w:fill="EAF1DD" w:themeFill="accent3" w:themeFillTint="33"/>
            <w:vAlign w:val="center"/>
          </w:tcPr>
          <w:p w14:paraId="14C8C0E3" w14:textId="77777777" w:rsidR="0033454E" w:rsidRPr="009534F8" w:rsidRDefault="0033454E" w:rsidP="0033454E">
            <w:pPr>
              <w:rPr>
                <w:color w:val="000000" w:themeColor="text1"/>
                <w:sz w:val="20"/>
                <w:szCs w:val="20"/>
              </w:rPr>
            </w:pPr>
            <w:r w:rsidRPr="009534F8">
              <w:rPr>
                <w:color w:val="000000" w:themeColor="text1"/>
                <w:sz w:val="20"/>
                <w:szCs w:val="20"/>
              </w:rPr>
              <w:t>T</w:t>
            </w:r>
            <w:r w:rsidRPr="009534F8">
              <w:rPr>
                <w:color w:val="000000" w:themeColor="text1"/>
                <w:sz w:val="20"/>
                <w:szCs w:val="20"/>
                <w:vertAlign w:val="subscript"/>
              </w:rPr>
              <w:t xml:space="preserve">2, </w:t>
            </w:r>
            <w:r w:rsidRPr="009534F8">
              <w:rPr>
                <w:color w:val="000000" w:themeColor="text1"/>
                <w:sz w:val="20"/>
                <w:szCs w:val="20"/>
              </w:rPr>
              <w:t>T</w:t>
            </w:r>
            <w:r w:rsidRPr="009534F8">
              <w:rPr>
                <w:color w:val="000000" w:themeColor="text1"/>
                <w:sz w:val="20"/>
                <w:szCs w:val="20"/>
                <w:vertAlign w:val="subscript"/>
              </w:rPr>
              <w:t xml:space="preserve">3, </w:t>
            </w:r>
            <w:r w:rsidRPr="009534F8">
              <w:rPr>
                <w:color w:val="000000" w:themeColor="text1"/>
                <w:sz w:val="20"/>
                <w:szCs w:val="20"/>
              </w:rPr>
              <w:t>F</w:t>
            </w:r>
            <w:r w:rsidRPr="009534F8">
              <w:rPr>
                <w:color w:val="000000" w:themeColor="text1"/>
                <w:sz w:val="20"/>
                <w:szCs w:val="20"/>
                <w:vertAlign w:val="subscript"/>
              </w:rPr>
              <w:t>1</w:t>
            </w:r>
            <w:r w:rsidRPr="009534F8">
              <w:rPr>
                <w:color w:val="000000" w:themeColor="text1"/>
                <w:sz w:val="20"/>
                <w:szCs w:val="20"/>
                <w:vertAlign w:val="superscript"/>
              </w:rPr>
              <w:t>*2</w:t>
            </w:r>
            <w:r w:rsidRPr="009534F8">
              <w:rPr>
                <w:color w:val="000000" w:themeColor="text1"/>
                <w:sz w:val="20"/>
                <w:szCs w:val="20"/>
              </w:rPr>
              <w:t>, BC</w:t>
            </w:r>
            <w:r w:rsidRPr="009534F8">
              <w:rPr>
                <w:color w:val="000000" w:themeColor="text1"/>
                <w:sz w:val="20"/>
                <w:szCs w:val="20"/>
                <w:vertAlign w:val="subscript"/>
              </w:rPr>
              <w:t>1</w:t>
            </w:r>
            <w:r w:rsidRPr="009534F8">
              <w:rPr>
                <w:color w:val="000000" w:themeColor="text1"/>
                <w:sz w:val="20"/>
                <w:szCs w:val="20"/>
                <w:vertAlign w:val="superscript"/>
              </w:rPr>
              <w:t>*2</w:t>
            </w:r>
            <w:r w:rsidRPr="009534F8">
              <w:rPr>
                <w:color w:val="000000" w:themeColor="text1"/>
                <w:sz w:val="20"/>
                <w:szCs w:val="20"/>
              </w:rPr>
              <w:t>, BC</w:t>
            </w:r>
            <w:r w:rsidRPr="009534F8">
              <w:rPr>
                <w:color w:val="000000" w:themeColor="text1"/>
                <w:sz w:val="20"/>
                <w:szCs w:val="20"/>
                <w:vertAlign w:val="subscript"/>
              </w:rPr>
              <w:t>2</w:t>
            </w:r>
            <w:r w:rsidRPr="009534F8">
              <w:rPr>
                <w:color w:val="000000" w:themeColor="text1"/>
                <w:sz w:val="20"/>
                <w:szCs w:val="20"/>
                <w:vertAlign w:val="superscript"/>
              </w:rPr>
              <w:t>*2</w:t>
            </w:r>
          </w:p>
        </w:tc>
        <w:tc>
          <w:tcPr>
            <w:tcW w:w="2405" w:type="dxa"/>
            <w:shd w:val="clear" w:color="auto" w:fill="EAF1DD" w:themeFill="accent3" w:themeFillTint="33"/>
            <w:vAlign w:val="center"/>
          </w:tcPr>
          <w:p w14:paraId="749C8C9E" w14:textId="77777777" w:rsidR="0033454E" w:rsidRPr="009534F8" w:rsidRDefault="0033454E" w:rsidP="00BD2330">
            <w:pPr>
              <w:pStyle w:val="ListParagraph"/>
              <w:numPr>
                <w:ilvl w:val="0"/>
                <w:numId w:val="7"/>
              </w:numPr>
              <w:ind w:left="171" w:hanging="171"/>
              <w:rPr>
                <w:bCs/>
                <w:iCs/>
                <w:color w:val="000000" w:themeColor="text1"/>
                <w:sz w:val="20"/>
                <w:szCs w:val="20"/>
                <w:lang w:val="en-AU"/>
              </w:rPr>
            </w:pPr>
            <w:r w:rsidRPr="009534F8">
              <w:rPr>
                <w:bCs/>
                <w:iCs/>
                <w:color w:val="000000" w:themeColor="text1"/>
                <w:sz w:val="20"/>
                <w:szCs w:val="20"/>
                <w:lang w:val="en-AU"/>
              </w:rPr>
              <w:t>Non-GM N90-740</w:t>
            </w:r>
          </w:p>
          <w:p w14:paraId="34CB8688" w14:textId="77777777" w:rsidR="0033454E" w:rsidRPr="009534F8" w:rsidRDefault="0033454E" w:rsidP="00BD2330">
            <w:pPr>
              <w:pStyle w:val="ListParagraph"/>
              <w:numPr>
                <w:ilvl w:val="0"/>
                <w:numId w:val="7"/>
              </w:numPr>
              <w:ind w:left="171" w:hanging="171"/>
              <w:rPr>
                <w:bCs/>
                <w:iCs/>
                <w:color w:val="000000" w:themeColor="text1"/>
                <w:sz w:val="20"/>
                <w:szCs w:val="20"/>
                <w:lang w:val="en-AU"/>
              </w:rPr>
            </w:pPr>
            <w:r w:rsidRPr="009534F8">
              <w:rPr>
                <w:bCs/>
                <w:iCs/>
                <w:color w:val="000000" w:themeColor="text1"/>
                <w:sz w:val="20"/>
                <w:szCs w:val="20"/>
                <w:lang w:val="en-AU"/>
              </w:rPr>
              <w:t>Non-GM N90-740 spiked with pTCO113</w:t>
            </w:r>
          </w:p>
        </w:tc>
        <w:tc>
          <w:tcPr>
            <w:tcW w:w="2018" w:type="dxa"/>
            <w:shd w:val="clear" w:color="auto" w:fill="EAF1DD" w:themeFill="accent3" w:themeFillTint="33"/>
            <w:vAlign w:val="center"/>
          </w:tcPr>
          <w:p w14:paraId="7EF4CFEA"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N/A</w:t>
            </w:r>
          </w:p>
        </w:tc>
      </w:tr>
      <w:tr w:rsidR="0033454E" w:rsidRPr="009534F8" w14:paraId="6F992B0F" w14:textId="77777777" w:rsidTr="0093373F">
        <w:tc>
          <w:tcPr>
            <w:tcW w:w="2511" w:type="dxa"/>
            <w:shd w:val="clear" w:color="auto" w:fill="FFFFFF" w:themeFill="background1"/>
            <w:vAlign w:val="center"/>
          </w:tcPr>
          <w:p w14:paraId="7C5C634B"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Mendelian inheritance (Section 3.5.2)</w:t>
            </w:r>
          </w:p>
        </w:tc>
        <w:tc>
          <w:tcPr>
            <w:tcW w:w="2138" w:type="dxa"/>
            <w:shd w:val="clear" w:color="auto" w:fill="FFFFFF" w:themeFill="background1"/>
            <w:vAlign w:val="center"/>
          </w:tcPr>
          <w:p w14:paraId="7F5A1D4B" w14:textId="77777777" w:rsidR="0033454E" w:rsidRPr="009534F8" w:rsidRDefault="0033454E" w:rsidP="0033454E">
            <w:pPr>
              <w:rPr>
                <w:color w:val="000000" w:themeColor="text1"/>
                <w:sz w:val="20"/>
                <w:szCs w:val="20"/>
              </w:rPr>
            </w:pPr>
            <w:r w:rsidRPr="009534F8">
              <w:rPr>
                <w:color w:val="000000" w:themeColor="text1"/>
                <w:sz w:val="20"/>
                <w:szCs w:val="20"/>
              </w:rPr>
              <w:t>T</w:t>
            </w:r>
            <w:r w:rsidRPr="009534F8">
              <w:rPr>
                <w:color w:val="000000" w:themeColor="text1"/>
                <w:sz w:val="20"/>
                <w:szCs w:val="20"/>
                <w:vertAlign w:val="subscript"/>
              </w:rPr>
              <w:t>3</w:t>
            </w:r>
            <w:r w:rsidRPr="009534F8">
              <w:rPr>
                <w:color w:val="000000" w:themeColor="text1"/>
                <w:sz w:val="20"/>
                <w:szCs w:val="20"/>
              </w:rPr>
              <w:t>, T</w:t>
            </w:r>
            <w:r w:rsidRPr="009534F8">
              <w:rPr>
                <w:color w:val="000000" w:themeColor="text1"/>
                <w:sz w:val="20"/>
                <w:szCs w:val="20"/>
                <w:vertAlign w:val="subscript"/>
              </w:rPr>
              <w:t>4</w:t>
            </w:r>
            <w:r w:rsidRPr="009534F8">
              <w:rPr>
                <w:color w:val="000000" w:themeColor="text1"/>
                <w:sz w:val="20"/>
                <w:szCs w:val="20"/>
              </w:rPr>
              <w:t>, T</w:t>
            </w:r>
            <w:r w:rsidRPr="009534F8">
              <w:rPr>
                <w:color w:val="000000" w:themeColor="text1"/>
                <w:sz w:val="20"/>
                <w:szCs w:val="20"/>
                <w:vertAlign w:val="subscript"/>
              </w:rPr>
              <w:t>5</w:t>
            </w:r>
            <w:r w:rsidRPr="009534F8">
              <w:rPr>
                <w:color w:val="000000" w:themeColor="text1"/>
                <w:sz w:val="20"/>
                <w:szCs w:val="20"/>
              </w:rPr>
              <w:t xml:space="preserve"> BC</w:t>
            </w:r>
            <w:r w:rsidRPr="009534F8">
              <w:rPr>
                <w:color w:val="000000" w:themeColor="text1"/>
                <w:sz w:val="20"/>
                <w:szCs w:val="20"/>
                <w:vertAlign w:val="subscript"/>
              </w:rPr>
              <w:t>4</w:t>
            </w:r>
            <w:r w:rsidRPr="009534F8">
              <w:rPr>
                <w:color w:val="000000" w:themeColor="text1"/>
                <w:sz w:val="20"/>
                <w:szCs w:val="20"/>
                <w:vertAlign w:val="superscript"/>
              </w:rPr>
              <w:t>*1</w:t>
            </w:r>
            <w:r w:rsidRPr="009534F8">
              <w:rPr>
                <w:color w:val="000000" w:themeColor="text1"/>
                <w:sz w:val="20"/>
                <w:szCs w:val="20"/>
              </w:rPr>
              <w:t>, and BC</w:t>
            </w:r>
            <w:r w:rsidRPr="009534F8">
              <w:rPr>
                <w:color w:val="000000" w:themeColor="text1"/>
                <w:sz w:val="20"/>
                <w:szCs w:val="20"/>
                <w:vertAlign w:val="subscript"/>
              </w:rPr>
              <w:t>5</w:t>
            </w:r>
            <w:r w:rsidRPr="009534F8">
              <w:rPr>
                <w:color w:val="000000" w:themeColor="text1"/>
                <w:sz w:val="20"/>
                <w:szCs w:val="20"/>
                <w:vertAlign w:val="superscript"/>
              </w:rPr>
              <w:t>*1</w:t>
            </w:r>
          </w:p>
        </w:tc>
        <w:tc>
          <w:tcPr>
            <w:tcW w:w="2405" w:type="dxa"/>
            <w:shd w:val="clear" w:color="auto" w:fill="FFFFFF" w:themeFill="background1"/>
            <w:vAlign w:val="center"/>
          </w:tcPr>
          <w:p w14:paraId="3F22B969" w14:textId="77777777" w:rsidR="0033454E" w:rsidRPr="009534F8" w:rsidRDefault="0033454E" w:rsidP="00BD2330">
            <w:pPr>
              <w:pStyle w:val="ListParagraph"/>
              <w:numPr>
                <w:ilvl w:val="0"/>
                <w:numId w:val="7"/>
              </w:numPr>
              <w:ind w:left="171" w:hanging="171"/>
              <w:rPr>
                <w:bCs/>
                <w:iCs/>
                <w:color w:val="000000" w:themeColor="text1"/>
                <w:sz w:val="20"/>
                <w:szCs w:val="20"/>
                <w:lang w:val="en-AU"/>
              </w:rPr>
            </w:pPr>
            <w:r w:rsidRPr="009534F8">
              <w:rPr>
                <w:bCs/>
                <w:iCs/>
                <w:color w:val="000000" w:themeColor="text1"/>
                <w:sz w:val="20"/>
                <w:szCs w:val="20"/>
                <w:lang w:val="en-AU"/>
              </w:rPr>
              <w:t>N/A</w:t>
            </w:r>
          </w:p>
        </w:tc>
        <w:tc>
          <w:tcPr>
            <w:tcW w:w="2018" w:type="dxa"/>
            <w:shd w:val="clear" w:color="auto" w:fill="FFFFFF" w:themeFill="background1"/>
            <w:vAlign w:val="center"/>
          </w:tcPr>
          <w:p w14:paraId="322FD207"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N/A</w:t>
            </w:r>
          </w:p>
        </w:tc>
      </w:tr>
      <w:tr w:rsidR="0033454E" w:rsidRPr="009534F8" w14:paraId="61417993" w14:textId="77777777" w:rsidTr="0093373F">
        <w:tc>
          <w:tcPr>
            <w:tcW w:w="2511" w:type="dxa"/>
            <w:shd w:val="clear" w:color="auto" w:fill="auto"/>
            <w:vAlign w:val="center"/>
          </w:tcPr>
          <w:p w14:paraId="6215DA74"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Protein expression levels in plant parts (Section 4.1.3.2)</w:t>
            </w:r>
          </w:p>
        </w:tc>
        <w:tc>
          <w:tcPr>
            <w:tcW w:w="2138" w:type="dxa"/>
            <w:shd w:val="clear" w:color="auto" w:fill="auto"/>
            <w:vAlign w:val="center"/>
          </w:tcPr>
          <w:p w14:paraId="7B6A85A7" w14:textId="77777777" w:rsidR="0033454E" w:rsidRPr="009534F8" w:rsidRDefault="0033454E" w:rsidP="0033454E">
            <w:pPr>
              <w:rPr>
                <w:color w:val="000000" w:themeColor="text1"/>
                <w:sz w:val="20"/>
                <w:szCs w:val="20"/>
              </w:rPr>
            </w:pPr>
            <w:r w:rsidRPr="009534F8">
              <w:rPr>
                <w:color w:val="000000" w:themeColor="text1"/>
                <w:szCs w:val="22"/>
              </w:rPr>
              <w:t>T</w:t>
            </w:r>
            <w:r w:rsidRPr="009534F8">
              <w:rPr>
                <w:color w:val="000000" w:themeColor="text1"/>
                <w:szCs w:val="22"/>
                <w:vertAlign w:val="subscript"/>
              </w:rPr>
              <w:t>4</w:t>
            </w:r>
          </w:p>
        </w:tc>
        <w:tc>
          <w:tcPr>
            <w:tcW w:w="2405" w:type="dxa"/>
            <w:shd w:val="clear" w:color="auto" w:fill="auto"/>
            <w:vAlign w:val="center"/>
          </w:tcPr>
          <w:p w14:paraId="40965EFD"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Non-GM N90-740</w:t>
            </w:r>
          </w:p>
        </w:tc>
        <w:tc>
          <w:tcPr>
            <w:tcW w:w="2018" w:type="dxa"/>
            <w:shd w:val="clear" w:color="auto" w:fill="auto"/>
            <w:vAlign w:val="center"/>
          </w:tcPr>
          <w:p w14:paraId="63C6EB65" w14:textId="77777777" w:rsidR="0033454E" w:rsidRPr="009534F8" w:rsidRDefault="0033454E" w:rsidP="0033454E">
            <w:pPr>
              <w:rPr>
                <w:bCs/>
                <w:iCs/>
                <w:color w:val="000000" w:themeColor="text1"/>
                <w:sz w:val="18"/>
                <w:szCs w:val="18"/>
                <w:lang w:val="en-AU"/>
              </w:rPr>
            </w:pPr>
            <w:r w:rsidRPr="009534F8">
              <w:rPr>
                <w:bCs/>
                <w:iCs/>
                <w:color w:val="000000" w:themeColor="text1"/>
                <w:sz w:val="18"/>
                <w:szCs w:val="18"/>
                <w:lang w:val="en-AU"/>
              </w:rPr>
              <w:t>Microbially-produced PAT, Barnase and Barstar</w:t>
            </w:r>
          </w:p>
        </w:tc>
      </w:tr>
      <w:tr w:rsidR="0033454E" w:rsidRPr="001B5342" w14:paraId="0CB45F66" w14:textId="77777777" w:rsidTr="0093373F">
        <w:tc>
          <w:tcPr>
            <w:tcW w:w="2511" w:type="dxa"/>
            <w:shd w:val="clear" w:color="auto" w:fill="auto"/>
            <w:vAlign w:val="center"/>
          </w:tcPr>
          <w:p w14:paraId="27E1EE38"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Compositional analyses (Section 5)</w:t>
            </w:r>
          </w:p>
        </w:tc>
        <w:tc>
          <w:tcPr>
            <w:tcW w:w="2138" w:type="dxa"/>
            <w:shd w:val="clear" w:color="auto" w:fill="auto"/>
            <w:vAlign w:val="center"/>
          </w:tcPr>
          <w:p w14:paraId="217CB0D0" w14:textId="77777777" w:rsidR="0033454E" w:rsidRPr="009534F8" w:rsidRDefault="0033454E" w:rsidP="0033454E">
            <w:pPr>
              <w:rPr>
                <w:bCs/>
                <w:iCs/>
                <w:color w:val="000000" w:themeColor="text1"/>
                <w:sz w:val="20"/>
                <w:szCs w:val="20"/>
                <w:lang w:val="en-AU"/>
              </w:rPr>
            </w:pPr>
            <w:r w:rsidRPr="009534F8">
              <w:rPr>
                <w:color w:val="000000" w:themeColor="text1"/>
                <w:szCs w:val="22"/>
              </w:rPr>
              <w:t>T</w:t>
            </w:r>
            <w:r w:rsidRPr="009534F8">
              <w:rPr>
                <w:color w:val="000000" w:themeColor="text1"/>
                <w:szCs w:val="22"/>
                <w:vertAlign w:val="subscript"/>
              </w:rPr>
              <w:t>4</w:t>
            </w:r>
          </w:p>
        </w:tc>
        <w:tc>
          <w:tcPr>
            <w:tcW w:w="2405" w:type="dxa"/>
            <w:shd w:val="clear" w:color="auto" w:fill="auto"/>
            <w:vAlign w:val="center"/>
          </w:tcPr>
          <w:p w14:paraId="4797E691" w14:textId="77777777" w:rsidR="0033454E" w:rsidRPr="009534F8" w:rsidRDefault="0033454E" w:rsidP="0033454E">
            <w:pPr>
              <w:rPr>
                <w:bCs/>
                <w:iCs/>
                <w:color w:val="000000" w:themeColor="text1"/>
                <w:sz w:val="20"/>
                <w:szCs w:val="20"/>
                <w:lang w:val="en-AU"/>
              </w:rPr>
            </w:pPr>
            <w:r w:rsidRPr="009534F8">
              <w:rPr>
                <w:bCs/>
                <w:iCs/>
                <w:color w:val="000000" w:themeColor="text1"/>
                <w:sz w:val="20"/>
                <w:szCs w:val="20"/>
                <w:lang w:val="en-AU"/>
              </w:rPr>
              <w:t>Non-GM N90-740</w:t>
            </w:r>
          </w:p>
        </w:tc>
        <w:tc>
          <w:tcPr>
            <w:tcW w:w="2018" w:type="dxa"/>
            <w:shd w:val="clear" w:color="auto" w:fill="auto"/>
            <w:vAlign w:val="center"/>
          </w:tcPr>
          <w:p w14:paraId="29751BB3" w14:textId="77777777" w:rsidR="0033454E" w:rsidRPr="009C5F58" w:rsidRDefault="0033454E" w:rsidP="0033454E">
            <w:pPr>
              <w:rPr>
                <w:bCs/>
                <w:iCs/>
                <w:color w:val="000000" w:themeColor="text1"/>
                <w:sz w:val="18"/>
                <w:szCs w:val="18"/>
                <w:lang w:val="en-AU"/>
              </w:rPr>
            </w:pPr>
            <w:r w:rsidRPr="009534F8">
              <w:rPr>
                <w:bCs/>
                <w:iCs/>
                <w:color w:val="000000" w:themeColor="text1"/>
                <w:sz w:val="18"/>
                <w:szCs w:val="18"/>
                <w:lang w:val="en-AU"/>
              </w:rPr>
              <w:t xml:space="preserve">Non-GM commercial lines </w:t>
            </w:r>
            <w:r w:rsidRPr="009534F8">
              <w:rPr>
                <w:sz w:val="18"/>
                <w:szCs w:val="18"/>
              </w:rPr>
              <w:t>46A65; AC Elect; AC Excel; Peace; Spectrum; Westar.</w:t>
            </w:r>
          </w:p>
        </w:tc>
      </w:tr>
    </w:tbl>
    <w:p w14:paraId="7EBC7676" w14:textId="1F4CFD29" w:rsidR="0033454E" w:rsidRPr="00B046B6" w:rsidRDefault="0093373F" w:rsidP="0033454E">
      <w:pPr>
        <w:pStyle w:val="Heading2"/>
        <w:rPr>
          <w:color w:val="000000" w:themeColor="text1"/>
        </w:rPr>
      </w:pPr>
      <w:bookmarkStart w:id="25" w:name="_Toc481491431"/>
      <w:r>
        <w:rPr>
          <w:color w:val="000000" w:themeColor="text1"/>
        </w:rPr>
        <w:lastRenderedPageBreak/>
        <w:t>3.4</w:t>
      </w:r>
      <w:r w:rsidR="0033454E" w:rsidRPr="00B046B6">
        <w:rPr>
          <w:color w:val="000000" w:themeColor="text1"/>
        </w:rPr>
        <w:tab/>
        <w:t>Characterisation of the genetic modification in the plant</w:t>
      </w:r>
      <w:bookmarkEnd w:id="25"/>
    </w:p>
    <w:p w14:paraId="1F1985BB" w14:textId="77777777" w:rsidR="0033454E" w:rsidRPr="00591EEC" w:rsidRDefault="0033454E" w:rsidP="0033454E">
      <w:pPr>
        <w:rPr>
          <w:color w:val="000000" w:themeColor="text1"/>
        </w:rPr>
      </w:pPr>
      <w:r w:rsidRPr="00591EEC">
        <w:rPr>
          <w:color w:val="000000" w:themeColor="text1"/>
        </w:rPr>
        <w:t xml:space="preserve">A range of analyses were undertaken to characterise </w:t>
      </w:r>
      <w:r>
        <w:rPr>
          <w:color w:val="000000" w:themeColor="text1"/>
        </w:rPr>
        <w:t>the genetic modification in MS11</w:t>
      </w:r>
      <w:r w:rsidRPr="00591EEC">
        <w:rPr>
          <w:color w:val="000000" w:themeColor="text1"/>
        </w:rPr>
        <w:t xml:space="preserve">. These analyses focussed on the nature of the insertion of the introduced genetic elements and whether any unintended re-arrangements may have occurred as a consequence of the transformation procedure. </w:t>
      </w:r>
    </w:p>
    <w:p w14:paraId="312C09F6" w14:textId="32803E90" w:rsidR="0033454E" w:rsidRPr="00591EEC" w:rsidRDefault="0093373F" w:rsidP="0033454E">
      <w:pPr>
        <w:pStyle w:val="Heading3"/>
      </w:pPr>
      <w:r>
        <w:t>3.4.1</w:t>
      </w:r>
      <w:r w:rsidR="0033454E" w:rsidRPr="00591EEC">
        <w:tab/>
        <w:t>Southern blot analysis: insert copy number, insert integrity and plasmid backbone</w:t>
      </w:r>
    </w:p>
    <w:p w14:paraId="0186F099" w14:textId="77777777" w:rsidR="0033454E" w:rsidRPr="00591EEC" w:rsidRDefault="0033454E" w:rsidP="0033454E">
      <w:pPr>
        <w:rPr>
          <w:iCs/>
          <w:color w:val="000000" w:themeColor="text1"/>
        </w:rPr>
      </w:pPr>
      <w:r w:rsidRPr="00591EEC">
        <w:rPr>
          <w:iCs/>
          <w:color w:val="000000" w:themeColor="text1"/>
        </w:rPr>
        <w:t xml:space="preserve">Genomic DNA isolation </w:t>
      </w:r>
      <w:r>
        <w:rPr>
          <w:iCs/>
          <w:noProof/>
          <w:color w:val="000000" w:themeColor="text1"/>
        </w:rPr>
        <w:t>(Dellaporta et al. 1983)</w:t>
      </w:r>
      <w:r w:rsidRPr="00591EEC">
        <w:rPr>
          <w:iCs/>
          <w:color w:val="000000" w:themeColor="text1"/>
        </w:rPr>
        <w:t xml:space="preserve"> was performed from leaf samples from glasshouse-grown plants of generation </w:t>
      </w:r>
      <w:r w:rsidRPr="009534F8">
        <w:rPr>
          <w:iCs/>
          <w:color w:val="000000" w:themeColor="text1"/>
        </w:rPr>
        <w:t>T</w:t>
      </w:r>
      <w:r w:rsidRPr="009534F8">
        <w:rPr>
          <w:iCs/>
          <w:color w:val="000000" w:themeColor="text1"/>
          <w:vertAlign w:val="subscript"/>
        </w:rPr>
        <w:t>2</w:t>
      </w:r>
      <w:r w:rsidRPr="009534F8">
        <w:rPr>
          <w:iCs/>
          <w:color w:val="000000" w:themeColor="text1"/>
        </w:rPr>
        <w:t xml:space="preserve"> (Figure 3 and Table 2) and</w:t>
      </w:r>
      <w:r w:rsidRPr="00591EEC">
        <w:rPr>
          <w:iCs/>
          <w:color w:val="000000" w:themeColor="text1"/>
        </w:rPr>
        <w:t xml:space="preserve"> from the unmodified parent (N90-740 negative control). Polymerase chain reaction </w:t>
      </w:r>
      <w:r w:rsidRPr="005E6716">
        <w:rPr>
          <w:iCs/>
          <w:color w:val="000000" w:themeColor="text1"/>
        </w:rPr>
        <w:t>(PCR) testing</w:t>
      </w:r>
      <w:r w:rsidRPr="00591EEC">
        <w:rPr>
          <w:iCs/>
          <w:color w:val="000000" w:themeColor="text1"/>
        </w:rPr>
        <w:t xml:space="preserve"> was used to confirm the identity of the samples. </w:t>
      </w:r>
    </w:p>
    <w:p w14:paraId="30C8C2F9" w14:textId="77777777" w:rsidR="0033454E" w:rsidRPr="00591EEC" w:rsidRDefault="0033454E" w:rsidP="0033454E">
      <w:pPr>
        <w:rPr>
          <w:iCs/>
          <w:color w:val="000000" w:themeColor="text1"/>
        </w:rPr>
      </w:pPr>
    </w:p>
    <w:p w14:paraId="20EC9670" w14:textId="452F7C68" w:rsidR="0033454E" w:rsidRPr="00591EEC" w:rsidRDefault="008A2B0B" w:rsidP="0033454E">
      <w:pPr>
        <w:rPr>
          <w:iCs/>
          <w:color w:val="000000" w:themeColor="text1"/>
        </w:rPr>
      </w:pPr>
      <w:r>
        <w:rPr>
          <w:iCs/>
          <w:color w:val="000000" w:themeColor="text1"/>
        </w:rPr>
        <w:t>Analysis of t</w:t>
      </w:r>
      <w:r w:rsidR="0033454E" w:rsidRPr="00591EEC">
        <w:rPr>
          <w:iCs/>
          <w:color w:val="000000" w:themeColor="text1"/>
        </w:rPr>
        <w:t xml:space="preserve">he DNA </w:t>
      </w:r>
      <w:r>
        <w:rPr>
          <w:iCs/>
          <w:color w:val="000000" w:themeColor="text1"/>
        </w:rPr>
        <w:t xml:space="preserve">from both sources allowed </w:t>
      </w:r>
      <w:r w:rsidR="0033454E" w:rsidRPr="00591EEC">
        <w:rPr>
          <w:iCs/>
          <w:color w:val="000000" w:themeColor="text1"/>
        </w:rPr>
        <w:t>determin</w:t>
      </w:r>
      <w:r>
        <w:rPr>
          <w:iCs/>
          <w:color w:val="000000" w:themeColor="text1"/>
        </w:rPr>
        <w:t>ation of</w:t>
      </w:r>
      <w:r w:rsidR="0033454E">
        <w:rPr>
          <w:iCs/>
          <w:color w:val="000000" w:themeColor="text1"/>
        </w:rPr>
        <w:t xml:space="preserve"> the number of insertion sites</w:t>
      </w:r>
      <w:r w:rsidR="0033454E" w:rsidRPr="00591EEC">
        <w:rPr>
          <w:iCs/>
          <w:color w:val="000000" w:themeColor="text1"/>
        </w:rPr>
        <w:t xml:space="preserve"> and the integr</w:t>
      </w:r>
      <w:r>
        <w:rPr>
          <w:iCs/>
          <w:color w:val="000000" w:themeColor="text1"/>
        </w:rPr>
        <w:t xml:space="preserve">ity of the inserted T-DNA, and </w:t>
      </w:r>
      <w:r w:rsidR="0033454E" w:rsidRPr="00591EEC">
        <w:rPr>
          <w:iCs/>
          <w:color w:val="000000" w:themeColor="text1"/>
        </w:rPr>
        <w:t>test</w:t>
      </w:r>
      <w:r>
        <w:rPr>
          <w:iCs/>
          <w:color w:val="000000" w:themeColor="text1"/>
        </w:rPr>
        <w:t>ing</w:t>
      </w:r>
      <w:r w:rsidR="0033454E" w:rsidRPr="00591EEC">
        <w:rPr>
          <w:iCs/>
          <w:color w:val="000000" w:themeColor="text1"/>
        </w:rPr>
        <w:t xml:space="preserve"> for the presence or absence of plasmid vector backbone sequences</w:t>
      </w:r>
      <w:r w:rsidR="0033454E">
        <w:rPr>
          <w:iCs/>
          <w:color w:val="000000" w:themeColor="text1"/>
        </w:rPr>
        <w:t xml:space="preserve"> by Southern blotting</w:t>
      </w:r>
      <w:r w:rsidR="0033454E" w:rsidRPr="00591EEC">
        <w:rPr>
          <w:iCs/>
          <w:color w:val="000000" w:themeColor="text1"/>
        </w:rPr>
        <w:t xml:space="preserve">. For each characterisation, the DNA was first digested with appropriate restriction enzyme(s) before electrophoretic separation and visualisation following labelling with appropriate digoxigenin </w:t>
      </w:r>
      <w:r w:rsidR="0033454E" w:rsidRPr="005E6716">
        <w:rPr>
          <w:iCs/>
          <w:color w:val="000000" w:themeColor="text1"/>
        </w:rPr>
        <w:t>(DIG)-labelled</w:t>
      </w:r>
      <w:r w:rsidR="0033454E" w:rsidRPr="00591EEC">
        <w:rPr>
          <w:iCs/>
          <w:color w:val="000000" w:themeColor="text1"/>
        </w:rPr>
        <w:t xml:space="preserve"> probes. As a positive control, </w:t>
      </w:r>
      <w:r w:rsidR="0033454E" w:rsidRPr="003F7959">
        <w:rPr>
          <w:rFonts w:cs="Arial"/>
          <w:i/>
          <w:iCs/>
          <w:color w:val="000000" w:themeColor="text1"/>
          <w:szCs w:val="22"/>
        </w:rPr>
        <w:t>Eco</w:t>
      </w:r>
      <w:r w:rsidR="0033454E" w:rsidRPr="003F7959">
        <w:rPr>
          <w:rFonts w:cs="Arial"/>
          <w:iCs/>
          <w:color w:val="000000" w:themeColor="text1"/>
          <w:szCs w:val="22"/>
        </w:rPr>
        <w:t>RI</w:t>
      </w:r>
      <w:r w:rsidR="0033454E">
        <w:rPr>
          <w:iCs/>
          <w:color w:val="000000" w:themeColor="text1"/>
        </w:rPr>
        <w:t xml:space="preserve"> -digested </w:t>
      </w:r>
      <w:r w:rsidR="0033454E" w:rsidRPr="00591EEC">
        <w:rPr>
          <w:iCs/>
          <w:color w:val="000000" w:themeColor="text1"/>
        </w:rPr>
        <w:t>N90-740 DNA was spiked with</w:t>
      </w:r>
      <w:r w:rsidR="0033454E">
        <w:rPr>
          <w:iCs/>
          <w:color w:val="000000" w:themeColor="text1"/>
        </w:rPr>
        <w:t xml:space="preserve"> </w:t>
      </w:r>
      <w:r w:rsidR="0033454E" w:rsidRPr="003F7959">
        <w:rPr>
          <w:rFonts w:cs="Arial"/>
          <w:i/>
          <w:iCs/>
          <w:color w:val="000000" w:themeColor="text1"/>
          <w:szCs w:val="22"/>
        </w:rPr>
        <w:t>Eco</w:t>
      </w:r>
      <w:r w:rsidR="0033454E" w:rsidRPr="003F7959">
        <w:rPr>
          <w:rFonts w:cs="Arial"/>
          <w:iCs/>
          <w:color w:val="000000" w:themeColor="text1"/>
          <w:szCs w:val="22"/>
        </w:rPr>
        <w:t>RI</w:t>
      </w:r>
      <w:r w:rsidR="0033454E">
        <w:rPr>
          <w:iCs/>
          <w:color w:val="000000" w:themeColor="text1"/>
        </w:rPr>
        <w:t>-digested</w:t>
      </w:r>
      <w:r w:rsidR="0033454E" w:rsidRPr="00591EEC">
        <w:rPr>
          <w:iCs/>
          <w:color w:val="000000" w:themeColor="text1"/>
        </w:rPr>
        <w:t xml:space="preserve"> reference plasmid (pTCO113) in an amount equivalent to equim</w:t>
      </w:r>
      <w:r w:rsidR="0033454E">
        <w:rPr>
          <w:iCs/>
          <w:color w:val="000000" w:themeColor="text1"/>
        </w:rPr>
        <w:t>olar (having previously ascertained that a 1/10</w:t>
      </w:r>
      <w:r w:rsidR="0033454E" w:rsidRPr="000873A1">
        <w:rPr>
          <w:iCs/>
          <w:color w:val="000000" w:themeColor="text1"/>
          <w:vertAlign w:val="superscript"/>
        </w:rPr>
        <w:t>th</w:t>
      </w:r>
      <w:r w:rsidR="0033454E">
        <w:rPr>
          <w:iCs/>
          <w:color w:val="000000" w:themeColor="text1"/>
        </w:rPr>
        <w:t xml:space="preserve"> equimolar concentration was sufficient enough to demonstrate the sensitivity of the method for detection of the target sequences).</w:t>
      </w:r>
    </w:p>
    <w:p w14:paraId="2F540CB6" w14:textId="54AEBD44" w:rsidR="0033454E" w:rsidRPr="003F7959" w:rsidRDefault="0093373F" w:rsidP="00AD4317">
      <w:pPr>
        <w:pStyle w:val="Heading4"/>
      </w:pPr>
      <w:r>
        <w:t>3.4.1.1</w:t>
      </w:r>
      <w:r w:rsidR="0033454E" w:rsidRPr="003F7959">
        <w:tab/>
        <w:t>Number of insertion sites</w:t>
      </w:r>
      <w:r w:rsidR="0033454E">
        <w:t xml:space="preserve"> and insert integrity</w:t>
      </w:r>
    </w:p>
    <w:p w14:paraId="46785EEC" w14:textId="77777777" w:rsidR="0033454E" w:rsidRPr="003F7959" w:rsidRDefault="0033454E" w:rsidP="0033454E">
      <w:pPr>
        <w:rPr>
          <w:rFonts w:cs="Arial"/>
          <w:iCs/>
          <w:color w:val="000000" w:themeColor="text1"/>
          <w:szCs w:val="22"/>
        </w:rPr>
      </w:pPr>
      <w:r>
        <w:rPr>
          <w:rFonts w:cs="Arial"/>
          <w:iCs/>
          <w:color w:val="000000" w:themeColor="text1"/>
          <w:szCs w:val="22"/>
        </w:rPr>
        <w:t>Pooled DNA from each test sample</w:t>
      </w:r>
      <w:r w:rsidRPr="003F7959">
        <w:rPr>
          <w:rFonts w:cs="Arial"/>
          <w:iCs/>
          <w:color w:val="000000" w:themeColor="text1"/>
          <w:szCs w:val="22"/>
        </w:rPr>
        <w:t xml:space="preserve"> was digested with 11 restriction enzymes (sites shown in</w:t>
      </w:r>
      <w:r w:rsidRPr="003F7959">
        <w:rPr>
          <w:rFonts w:cs="Arial"/>
          <w:i/>
          <w:iCs/>
          <w:color w:val="000000" w:themeColor="text1"/>
          <w:szCs w:val="22"/>
        </w:rPr>
        <w:t xml:space="preserve"> </w:t>
      </w:r>
      <w:r w:rsidRPr="009534F8">
        <w:rPr>
          <w:rFonts w:cs="Arial"/>
          <w:iCs/>
          <w:color w:val="000000" w:themeColor="text1"/>
          <w:szCs w:val="22"/>
        </w:rPr>
        <w:t>Figure 2</w:t>
      </w:r>
      <w:r w:rsidRPr="009534F8">
        <w:rPr>
          <w:rFonts w:cs="Arial"/>
          <w:i/>
          <w:iCs/>
          <w:color w:val="000000" w:themeColor="text1"/>
          <w:szCs w:val="22"/>
        </w:rPr>
        <w:t>)</w:t>
      </w:r>
      <w:r w:rsidRPr="009534F8">
        <w:rPr>
          <w:rFonts w:cs="Arial"/>
          <w:iCs/>
          <w:color w:val="000000" w:themeColor="text1"/>
          <w:szCs w:val="22"/>
        </w:rPr>
        <w:t xml:space="preserve"> with recognition</w:t>
      </w:r>
      <w:r w:rsidRPr="003F7959">
        <w:rPr>
          <w:rFonts w:cs="Arial"/>
          <w:iCs/>
          <w:color w:val="000000" w:themeColor="text1"/>
          <w:szCs w:val="22"/>
        </w:rPr>
        <w:t xml:space="preserve"> sites within the T-DNA. Following electrophoresis and Southern blotting, 10 probes were used to cover, between them, all elements of the T-DNA.</w:t>
      </w:r>
    </w:p>
    <w:p w14:paraId="12DE59CB" w14:textId="77777777" w:rsidR="0033454E" w:rsidRPr="003F7959" w:rsidRDefault="0033454E" w:rsidP="0033454E">
      <w:pPr>
        <w:rPr>
          <w:rFonts w:cs="Arial"/>
          <w:iCs/>
          <w:color w:val="000000" w:themeColor="text1"/>
          <w:szCs w:val="22"/>
        </w:rPr>
      </w:pPr>
    </w:p>
    <w:p w14:paraId="772778A4" w14:textId="480C87FA" w:rsidR="0033454E" w:rsidRPr="0090684C" w:rsidRDefault="0033454E" w:rsidP="0033454E">
      <w:pPr>
        <w:widowControl/>
        <w:autoSpaceDE w:val="0"/>
        <w:autoSpaceDN w:val="0"/>
        <w:adjustRightInd w:val="0"/>
        <w:rPr>
          <w:rFonts w:cs="Arial"/>
          <w:color w:val="000000" w:themeColor="text1"/>
          <w:szCs w:val="22"/>
          <w:lang w:eastAsia="en-GB" w:bidi="ar-SA"/>
        </w:rPr>
      </w:pPr>
      <w:r>
        <w:rPr>
          <w:rFonts w:cs="Arial"/>
          <w:color w:val="000000" w:themeColor="text1"/>
          <w:szCs w:val="22"/>
        </w:rPr>
        <w:t xml:space="preserve">The N90-740 negative control DNA showed no hybridisation with any of the probes. </w:t>
      </w:r>
      <w:r w:rsidRPr="003F7959">
        <w:rPr>
          <w:rFonts w:cs="Arial"/>
          <w:color w:val="000000" w:themeColor="text1"/>
          <w:szCs w:val="22"/>
        </w:rPr>
        <w:t>For</w:t>
      </w:r>
      <w:r>
        <w:rPr>
          <w:rFonts w:cs="Arial"/>
          <w:color w:val="000000" w:themeColor="text1"/>
          <w:szCs w:val="22"/>
        </w:rPr>
        <w:t xml:space="preserve"> the positive control</w:t>
      </w:r>
      <w:r w:rsidRPr="003F7959">
        <w:rPr>
          <w:rFonts w:cs="Arial"/>
          <w:color w:val="000000" w:themeColor="text1"/>
          <w:szCs w:val="22"/>
        </w:rPr>
        <w:t xml:space="preserve">, </w:t>
      </w:r>
      <w:r>
        <w:rPr>
          <w:rFonts w:cs="Arial"/>
          <w:color w:val="000000" w:themeColor="text1"/>
          <w:szCs w:val="22"/>
        </w:rPr>
        <w:t xml:space="preserve">two </w:t>
      </w:r>
      <w:r w:rsidRPr="003F7959">
        <w:rPr>
          <w:rFonts w:cs="Arial"/>
          <w:color w:val="000000" w:themeColor="text1"/>
          <w:szCs w:val="22"/>
        </w:rPr>
        <w:t xml:space="preserve">hybridising fragments of the predicted sizes were detected. </w:t>
      </w:r>
      <w:r>
        <w:rPr>
          <w:rFonts w:cs="Arial"/>
          <w:color w:val="000000" w:themeColor="text1"/>
          <w:szCs w:val="22"/>
        </w:rPr>
        <w:t xml:space="preserve">For MS11 digests, fragments of predicted sizes were obtained. </w:t>
      </w:r>
      <w:r w:rsidRPr="003F7959">
        <w:rPr>
          <w:rFonts w:cs="Arial"/>
          <w:color w:val="000000" w:themeColor="text1"/>
          <w:szCs w:val="22"/>
        </w:rPr>
        <w:t xml:space="preserve">For four </w:t>
      </w:r>
      <w:r>
        <w:rPr>
          <w:rFonts w:cs="Arial"/>
          <w:color w:val="000000" w:themeColor="text1"/>
          <w:szCs w:val="22"/>
        </w:rPr>
        <w:t xml:space="preserve">of the </w:t>
      </w:r>
      <w:r w:rsidRPr="003F7959">
        <w:rPr>
          <w:rFonts w:cs="Arial"/>
          <w:color w:val="000000" w:themeColor="text1"/>
          <w:szCs w:val="22"/>
        </w:rPr>
        <w:t>restriction enzyme digests</w:t>
      </w:r>
      <w:r>
        <w:rPr>
          <w:rFonts w:cs="Arial"/>
          <w:color w:val="000000" w:themeColor="text1"/>
          <w:szCs w:val="22"/>
        </w:rPr>
        <w:t xml:space="preserve"> of MS11</w:t>
      </w:r>
      <w:r w:rsidRPr="003F7959">
        <w:rPr>
          <w:rFonts w:cs="Arial"/>
          <w:color w:val="000000" w:themeColor="text1"/>
          <w:szCs w:val="22"/>
        </w:rPr>
        <w:t>, weak fragments additional to those predicted were obtained but could be explained</w:t>
      </w:r>
      <w:r>
        <w:rPr>
          <w:rFonts w:cs="Arial"/>
          <w:color w:val="000000" w:themeColor="text1"/>
          <w:szCs w:val="22"/>
        </w:rPr>
        <w:t>,</w:t>
      </w:r>
      <w:r w:rsidRPr="003F7959">
        <w:rPr>
          <w:rFonts w:cs="Arial"/>
          <w:color w:val="000000" w:themeColor="text1"/>
          <w:szCs w:val="22"/>
        </w:rPr>
        <w:t xml:space="preserve"> </w:t>
      </w:r>
      <w:r>
        <w:rPr>
          <w:rFonts w:cs="Arial"/>
          <w:color w:val="000000" w:themeColor="text1"/>
          <w:szCs w:val="22"/>
        </w:rPr>
        <w:t xml:space="preserve">after further investigation, </w:t>
      </w:r>
      <w:r w:rsidRPr="003F7959">
        <w:rPr>
          <w:rFonts w:cs="Arial"/>
          <w:color w:val="000000" w:themeColor="text1"/>
          <w:szCs w:val="22"/>
        </w:rPr>
        <w:t xml:space="preserve">by </w:t>
      </w:r>
      <w:r w:rsidRPr="003F7959">
        <w:rPr>
          <w:rFonts w:cs="Arial"/>
          <w:color w:val="000000" w:themeColor="text1"/>
          <w:szCs w:val="22"/>
          <w:lang w:eastAsia="en-GB" w:bidi="ar-SA"/>
        </w:rPr>
        <w:t xml:space="preserve">incomplete digestion. </w:t>
      </w:r>
      <w:r w:rsidRPr="003F7959">
        <w:rPr>
          <w:rFonts w:cs="Arial"/>
          <w:color w:val="000000" w:themeColor="text1"/>
          <w:szCs w:val="22"/>
        </w:rPr>
        <w:t xml:space="preserve">The weight of evidence </w:t>
      </w:r>
      <w:r w:rsidRPr="0090684C">
        <w:rPr>
          <w:rFonts w:cs="Arial"/>
          <w:color w:val="000000" w:themeColor="text1"/>
          <w:szCs w:val="22"/>
        </w:rPr>
        <w:t xml:space="preserve">suggest the presence of a single insertion site </w:t>
      </w:r>
      <w:r w:rsidR="00A342A6" w:rsidRPr="0090684C">
        <w:rPr>
          <w:rFonts w:cs="Arial"/>
          <w:color w:val="000000" w:themeColor="text1"/>
          <w:szCs w:val="22"/>
        </w:rPr>
        <w:t>in MS11</w:t>
      </w:r>
      <w:r w:rsidR="00A342A6">
        <w:rPr>
          <w:rFonts w:cs="Arial"/>
          <w:color w:val="000000" w:themeColor="text1"/>
          <w:szCs w:val="22"/>
        </w:rPr>
        <w:t xml:space="preserve"> </w:t>
      </w:r>
      <w:r w:rsidRPr="0090684C">
        <w:rPr>
          <w:rFonts w:cs="Arial"/>
          <w:color w:val="000000" w:themeColor="text1"/>
          <w:szCs w:val="22"/>
        </w:rPr>
        <w:t xml:space="preserve">containing the </w:t>
      </w:r>
      <w:r w:rsidRPr="0090684C">
        <w:rPr>
          <w:rFonts w:cs="Arial"/>
          <w:i/>
          <w:color w:val="000000" w:themeColor="text1"/>
          <w:szCs w:val="22"/>
        </w:rPr>
        <w:t>bar</w:t>
      </w:r>
      <w:r w:rsidRPr="0090684C">
        <w:rPr>
          <w:rFonts w:cs="Arial"/>
          <w:color w:val="000000" w:themeColor="text1"/>
          <w:szCs w:val="22"/>
        </w:rPr>
        <w:t xml:space="preserve">, </w:t>
      </w:r>
      <w:r w:rsidRPr="0090684C">
        <w:rPr>
          <w:rFonts w:cs="Arial"/>
          <w:i/>
          <w:color w:val="000000" w:themeColor="text1"/>
          <w:szCs w:val="22"/>
        </w:rPr>
        <w:t>barnase</w:t>
      </w:r>
      <w:r w:rsidRPr="0090684C">
        <w:rPr>
          <w:rFonts w:cs="Arial"/>
          <w:color w:val="000000" w:themeColor="text1"/>
          <w:szCs w:val="22"/>
        </w:rPr>
        <w:t xml:space="preserve"> and </w:t>
      </w:r>
      <w:r w:rsidRPr="0090684C">
        <w:rPr>
          <w:rFonts w:cs="Arial"/>
          <w:i/>
          <w:color w:val="000000" w:themeColor="text1"/>
          <w:szCs w:val="22"/>
        </w:rPr>
        <w:t>barstar</w:t>
      </w:r>
      <w:r w:rsidRPr="0090684C">
        <w:rPr>
          <w:rFonts w:cs="Arial"/>
          <w:color w:val="000000" w:themeColor="text1"/>
          <w:szCs w:val="22"/>
        </w:rPr>
        <w:t xml:space="preserve"> cassettes as present in the pTCO113 plasmid.</w:t>
      </w:r>
    </w:p>
    <w:p w14:paraId="404C18C0" w14:textId="63125F73" w:rsidR="0033454E" w:rsidRPr="0090684C" w:rsidRDefault="0093373F" w:rsidP="00AD4317">
      <w:pPr>
        <w:pStyle w:val="Heading4"/>
      </w:pPr>
      <w:r>
        <w:t>3.4.1.2</w:t>
      </w:r>
      <w:r w:rsidR="0033454E" w:rsidRPr="0090684C">
        <w:tab/>
        <w:t>Plasmid backbone</w:t>
      </w:r>
    </w:p>
    <w:p w14:paraId="425E4A41" w14:textId="77777777" w:rsidR="0033454E" w:rsidRPr="0090684C" w:rsidRDefault="0033454E" w:rsidP="0033454E">
      <w:pPr>
        <w:rPr>
          <w:iCs/>
          <w:color w:val="000000" w:themeColor="text1"/>
        </w:rPr>
      </w:pPr>
      <w:r w:rsidRPr="0090684C">
        <w:rPr>
          <w:iCs/>
          <w:color w:val="000000" w:themeColor="text1"/>
        </w:rPr>
        <w:t>Pooled MS11</w:t>
      </w:r>
      <w:r w:rsidRPr="0090684C">
        <w:rPr>
          <w:rFonts w:cs="Arial"/>
          <w:iCs/>
          <w:color w:val="000000" w:themeColor="text1"/>
          <w:szCs w:val="22"/>
        </w:rPr>
        <w:t xml:space="preserve"> DNA from five plants </w:t>
      </w:r>
      <w:r>
        <w:rPr>
          <w:rFonts w:cs="Arial"/>
          <w:iCs/>
          <w:color w:val="000000" w:themeColor="text1"/>
          <w:szCs w:val="22"/>
        </w:rPr>
        <w:t xml:space="preserve">(generation </w:t>
      </w:r>
      <w:r w:rsidRPr="004C388E">
        <w:rPr>
          <w:rFonts w:cs="Arial"/>
          <w:iCs/>
          <w:color w:val="000000" w:themeColor="text1"/>
          <w:szCs w:val="22"/>
        </w:rPr>
        <w:t>T</w:t>
      </w:r>
      <w:r w:rsidRPr="004C388E">
        <w:rPr>
          <w:rFonts w:cs="Arial"/>
          <w:iCs/>
          <w:color w:val="000000" w:themeColor="text1"/>
          <w:szCs w:val="22"/>
          <w:vertAlign w:val="subscript"/>
        </w:rPr>
        <w:t>2</w:t>
      </w:r>
      <w:r>
        <w:rPr>
          <w:rFonts w:cs="Arial"/>
          <w:iCs/>
          <w:color w:val="000000" w:themeColor="text1"/>
          <w:szCs w:val="22"/>
        </w:rPr>
        <w:t xml:space="preserve">) </w:t>
      </w:r>
      <w:r w:rsidRPr="004C388E">
        <w:rPr>
          <w:rFonts w:cs="Arial"/>
          <w:iCs/>
          <w:color w:val="000000" w:themeColor="text1"/>
          <w:szCs w:val="22"/>
        </w:rPr>
        <w:t>was</w:t>
      </w:r>
      <w:r w:rsidRPr="0090684C">
        <w:rPr>
          <w:rFonts w:cs="Arial"/>
          <w:iCs/>
          <w:color w:val="000000" w:themeColor="text1"/>
          <w:szCs w:val="22"/>
        </w:rPr>
        <w:t xml:space="preserve"> digested with two restriction enzymes </w:t>
      </w:r>
      <w:r w:rsidRPr="0090684C">
        <w:rPr>
          <w:rFonts w:cs="Arial"/>
          <w:i/>
          <w:iCs/>
          <w:color w:val="000000" w:themeColor="text1"/>
          <w:szCs w:val="22"/>
        </w:rPr>
        <w:t>Afl</w:t>
      </w:r>
      <w:r w:rsidRPr="0090684C">
        <w:rPr>
          <w:rFonts w:cs="Arial"/>
          <w:iCs/>
          <w:color w:val="000000" w:themeColor="text1"/>
          <w:szCs w:val="22"/>
        </w:rPr>
        <w:t xml:space="preserve">III and </w:t>
      </w:r>
      <w:r w:rsidRPr="0090684C">
        <w:rPr>
          <w:rFonts w:cs="Arial"/>
          <w:i/>
          <w:iCs/>
          <w:color w:val="000000" w:themeColor="text1"/>
          <w:szCs w:val="22"/>
        </w:rPr>
        <w:t>Nde</w:t>
      </w:r>
      <w:r w:rsidRPr="0090684C">
        <w:rPr>
          <w:rFonts w:cs="Arial"/>
          <w:iCs/>
          <w:color w:val="000000" w:themeColor="text1"/>
          <w:szCs w:val="22"/>
        </w:rPr>
        <w:t xml:space="preserve">I, electrophoresed and probed with </w:t>
      </w:r>
      <w:r>
        <w:rPr>
          <w:rFonts w:cs="Arial"/>
          <w:iCs/>
          <w:color w:val="000000" w:themeColor="text1"/>
          <w:szCs w:val="22"/>
        </w:rPr>
        <w:t xml:space="preserve">a) </w:t>
      </w:r>
      <w:r w:rsidRPr="0090684C">
        <w:rPr>
          <w:rFonts w:cs="Arial"/>
          <w:iCs/>
          <w:color w:val="000000" w:themeColor="text1"/>
          <w:szCs w:val="22"/>
        </w:rPr>
        <w:t>four</w:t>
      </w:r>
      <w:r w:rsidRPr="0090684C">
        <w:rPr>
          <w:iCs/>
          <w:color w:val="000000" w:themeColor="text1"/>
        </w:rPr>
        <w:t xml:space="preserve"> </w:t>
      </w:r>
      <w:r>
        <w:rPr>
          <w:iCs/>
          <w:color w:val="000000" w:themeColor="text1"/>
        </w:rPr>
        <w:t xml:space="preserve">DIG </w:t>
      </w:r>
      <w:r w:rsidRPr="0090684C">
        <w:rPr>
          <w:iCs/>
          <w:color w:val="000000" w:themeColor="text1"/>
        </w:rPr>
        <w:t xml:space="preserve">probes which together covered the entire plasmid backbone region and </w:t>
      </w:r>
      <w:r>
        <w:rPr>
          <w:iCs/>
          <w:color w:val="000000" w:themeColor="text1"/>
        </w:rPr>
        <w:t xml:space="preserve">b) </w:t>
      </w:r>
      <w:r w:rsidRPr="0090684C">
        <w:rPr>
          <w:iCs/>
          <w:color w:val="000000" w:themeColor="text1"/>
        </w:rPr>
        <w:t>a single probe covering the T-DNA. Positive and negative contro</w:t>
      </w:r>
      <w:r>
        <w:rPr>
          <w:iCs/>
          <w:color w:val="000000" w:themeColor="text1"/>
        </w:rPr>
        <w:t>ls were included.</w:t>
      </w:r>
    </w:p>
    <w:p w14:paraId="3653648C" w14:textId="77777777" w:rsidR="0033454E" w:rsidRPr="0090684C" w:rsidRDefault="0033454E" w:rsidP="0033454E">
      <w:pPr>
        <w:rPr>
          <w:iCs/>
          <w:color w:val="000000" w:themeColor="text1"/>
        </w:rPr>
      </w:pPr>
    </w:p>
    <w:p w14:paraId="38452CE5" w14:textId="202A96DC" w:rsidR="0033454E" w:rsidRDefault="0033454E" w:rsidP="0033454E">
      <w:pPr>
        <w:rPr>
          <w:iCs/>
          <w:color w:val="000000" w:themeColor="text1"/>
        </w:rPr>
      </w:pPr>
      <w:r w:rsidRPr="0090684C">
        <w:rPr>
          <w:iCs/>
          <w:color w:val="000000" w:themeColor="text1"/>
        </w:rPr>
        <w:t xml:space="preserve">The N90-740 positive control </w:t>
      </w:r>
      <w:r>
        <w:rPr>
          <w:iCs/>
          <w:color w:val="000000" w:themeColor="text1"/>
        </w:rPr>
        <w:t xml:space="preserve">(digested with </w:t>
      </w:r>
      <w:r w:rsidRPr="000873A1">
        <w:rPr>
          <w:i/>
          <w:iCs/>
          <w:color w:val="000000" w:themeColor="text1"/>
        </w:rPr>
        <w:t>Nde</w:t>
      </w:r>
      <w:r>
        <w:rPr>
          <w:iCs/>
          <w:color w:val="000000" w:themeColor="text1"/>
        </w:rPr>
        <w:t xml:space="preserve">I) </w:t>
      </w:r>
      <w:r w:rsidRPr="0090684C">
        <w:rPr>
          <w:iCs/>
          <w:color w:val="000000" w:themeColor="text1"/>
        </w:rPr>
        <w:t xml:space="preserve">spiked with </w:t>
      </w:r>
      <w:r>
        <w:rPr>
          <w:i/>
          <w:iCs/>
          <w:color w:val="000000" w:themeColor="text1"/>
        </w:rPr>
        <w:t>Eco</w:t>
      </w:r>
      <w:r w:rsidRPr="000873A1">
        <w:rPr>
          <w:iCs/>
          <w:color w:val="000000" w:themeColor="text1"/>
        </w:rPr>
        <w:t>RI</w:t>
      </w:r>
      <w:r>
        <w:rPr>
          <w:iCs/>
          <w:color w:val="000000" w:themeColor="text1"/>
        </w:rPr>
        <w:t xml:space="preserve">-digested </w:t>
      </w:r>
      <w:r w:rsidRPr="0090684C">
        <w:rPr>
          <w:iCs/>
          <w:color w:val="000000" w:themeColor="text1"/>
        </w:rPr>
        <w:t>pTCO113 gave the expected hybridisation fragments. MS11 inc</w:t>
      </w:r>
      <w:r>
        <w:rPr>
          <w:iCs/>
          <w:color w:val="000000" w:themeColor="text1"/>
        </w:rPr>
        <w:t>ubated with the T-DNA probe</w:t>
      </w:r>
      <w:r w:rsidRPr="0090684C">
        <w:rPr>
          <w:iCs/>
          <w:color w:val="000000" w:themeColor="text1"/>
        </w:rPr>
        <w:t xml:space="preserve"> showed the </w:t>
      </w:r>
      <w:r>
        <w:rPr>
          <w:iCs/>
          <w:color w:val="000000" w:themeColor="text1"/>
        </w:rPr>
        <w:t xml:space="preserve">two </w:t>
      </w:r>
      <w:r w:rsidRPr="0090684C">
        <w:rPr>
          <w:iCs/>
          <w:color w:val="000000" w:themeColor="text1"/>
        </w:rPr>
        <w:t>expected fragments. No hybridisation fragments were detected in any other samples. This indicated that no backbone sequences are present in MS11.</w:t>
      </w:r>
    </w:p>
    <w:p w14:paraId="1CEA4BCB" w14:textId="77777777" w:rsidR="0093373F" w:rsidRPr="0090684C" w:rsidRDefault="0093373F" w:rsidP="0033454E">
      <w:pPr>
        <w:rPr>
          <w:iCs/>
          <w:color w:val="000000" w:themeColor="text1"/>
        </w:rPr>
      </w:pPr>
    </w:p>
    <w:p w14:paraId="1551BD1D" w14:textId="77777777" w:rsidR="0093373F" w:rsidRDefault="0093373F" w:rsidP="0033454E">
      <w:pPr>
        <w:rPr>
          <w:iCs/>
          <w:color w:val="000000" w:themeColor="text1"/>
        </w:rPr>
      </w:pPr>
      <w:r>
        <w:rPr>
          <w:iCs/>
          <w:color w:val="000000" w:themeColor="text1"/>
        </w:rPr>
        <w:br w:type="page"/>
      </w:r>
    </w:p>
    <w:p w14:paraId="0F21D24C" w14:textId="67F74CFF" w:rsidR="0033454E" w:rsidRPr="0090684C" w:rsidRDefault="0033454E" w:rsidP="0033454E">
      <w:pPr>
        <w:rPr>
          <w:rFonts w:cs="Arial"/>
          <w:color w:val="000000" w:themeColor="text1"/>
          <w:szCs w:val="22"/>
        </w:rPr>
      </w:pPr>
      <w:r w:rsidRPr="0090684C">
        <w:rPr>
          <w:iCs/>
          <w:color w:val="000000" w:themeColor="text1"/>
        </w:rPr>
        <w:lastRenderedPageBreak/>
        <w:t>As an additional check, the Applicant also tested for the presence of</w:t>
      </w:r>
      <w:r>
        <w:rPr>
          <w:iCs/>
          <w:color w:val="000000" w:themeColor="text1"/>
        </w:rPr>
        <w:t xml:space="preserve"> the</w:t>
      </w:r>
      <w:r w:rsidRPr="0090684C">
        <w:rPr>
          <w:iCs/>
          <w:color w:val="000000" w:themeColor="text1"/>
        </w:rPr>
        <w:t xml:space="preserve"> </w:t>
      </w:r>
      <w:r w:rsidRPr="0090684C">
        <w:rPr>
          <w:i/>
          <w:iCs/>
          <w:color w:val="000000" w:themeColor="text1"/>
        </w:rPr>
        <w:t>barstar</w:t>
      </w:r>
      <w:r w:rsidRPr="0090684C">
        <w:rPr>
          <w:iCs/>
          <w:color w:val="000000" w:themeColor="text1"/>
        </w:rPr>
        <w:t xml:space="preserve"> sequences present in the plasmid backbone</w:t>
      </w:r>
      <w:r>
        <w:rPr>
          <w:iCs/>
          <w:color w:val="000000" w:themeColor="text1"/>
        </w:rPr>
        <w:t xml:space="preserve"> (as opposed to those in the T-DNA). </w:t>
      </w:r>
      <w:r w:rsidRPr="0090684C">
        <w:rPr>
          <w:iCs/>
          <w:color w:val="000000" w:themeColor="text1"/>
        </w:rPr>
        <w:t xml:space="preserve">Using </w:t>
      </w:r>
      <w:r>
        <w:rPr>
          <w:iCs/>
          <w:color w:val="000000" w:themeColor="text1"/>
        </w:rPr>
        <w:t>five</w:t>
      </w:r>
      <w:r w:rsidRPr="0090684C">
        <w:rPr>
          <w:iCs/>
          <w:color w:val="000000" w:themeColor="text1"/>
        </w:rPr>
        <w:t xml:space="preserve"> primer combinations specific to the</w:t>
      </w:r>
      <w:r>
        <w:rPr>
          <w:iCs/>
          <w:color w:val="000000" w:themeColor="text1"/>
        </w:rPr>
        <w:t xml:space="preserve"> backbone</w:t>
      </w:r>
      <w:r w:rsidRPr="0090684C">
        <w:rPr>
          <w:iCs/>
          <w:color w:val="000000" w:themeColor="text1"/>
        </w:rPr>
        <w:t xml:space="preserve"> </w:t>
      </w:r>
      <w:r w:rsidRPr="0090684C">
        <w:rPr>
          <w:i/>
          <w:iCs/>
          <w:color w:val="000000" w:themeColor="text1"/>
        </w:rPr>
        <w:t>barstar</w:t>
      </w:r>
      <w:r w:rsidRPr="0090684C">
        <w:rPr>
          <w:iCs/>
          <w:color w:val="000000" w:themeColor="text1"/>
        </w:rPr>
        <w:t xml:space="preserve"> gene (plus/minus upstream and downstream sequences), as well as a primer pair targeting T-DNA sequences at the RB (serving as an internal control) PCR was done on MS11 DNA and </w:t>
      </w:r>
      <w:r>
        <w:rPr>
          <w:iCs/>
          <w:color w:val="000000" w:themeColor="text1"/>
        </w:rPr>
        <w:t xml:space="preserve">DNA from </w:t>
      </w:r>
      <w:r w:rsidRPr="0090684C">
        <w:rPr>
          <w:iCs/>
          <w:color w:val="000000" w:themeColor="text1"/>
        </w:rPr>
        <w:t>negative and positive controls</w:t>
      </w:r>
      <w:r>
        <w:rPr>
          <w:iCs/>
          <w:color w:val="000000" w:themeColor="text1"/>
        </w:rPr>
        <w:t>,</w:t>
      </w:r>
      <w:r w:rsidRPr="0090684C">
        <w:rPr>
          <w:iCs/>
          <w:color w:val="000000" w:themeColor="text1"/>
        </w:rPr>
        <w:t xml:space="preserve"> and the products were electrophoresed and stained with ethidium bromide</w:t>
      </w:r>
      <w:r w:rsidRPr="0090684C">
        <w:rPr>
          <w:rFonts w:cs="Arial"/>
          <w:iCs/>
          <w:color w:val="000000" w:themeColor="text1"/>
          <w:szCs w:val="22"/>
        </w:rPr>
        <w:t xml:space="preserve">. </w:t>
      </w:r>
      <w:r w:rsidRPr="0090684C">
        <w:rPr>
          <w:rFonts w:cs="Arial"/>
          <w:color w:val="000000" w:themeColor="text1"/>
          <w:szCs w:val="22"/>
          <w:lang w:eastAsia="en-GB" w:bidi="ar-SA"/>
        </w:rPr>
        <w:t>No amplicons were obtained using negative controls or MS11 DNA as template with</w:t>
      </w:r>
      <w:r>
        <w:rPr>
          <w:rFonts w:cs="Arial"/>
          <w:color w:val="000000" w:themeColor="text1"/>
          <w:szCs w:val="22"/>
          <w:lang w:eastAsia="en-GB" w:bidi="ar-SA"/>
        </w:rPr>
        <w:t xml:space="preserve"> the five</w:t>
      </w:r>
      <w:r w:rsidRPr="0090684C">
        <w:rPr>
          <w:rFonts w:cs="Arial"/>
          <w:color w:val="000000" w:themeColor="text1"/>
          <w:szCs w:val="22"/>
          <w:lang w:eastAsia="en-GB" w:bidi="ar-SA"/>
        </w:rPr>
        <w:t xml:space="preserve"> </w:t>
      </w:r>
      <w:r w:rsidRPr="0090684C">
        <w:rPr>
          <w:rFonts w:cs="Arial"/>
          <w:i/>
          <w:color w:val="000000" w:themeColor="text1"/>
          <w:szCs w:val="22"/>
          <w:lang w:eastAsia="en-GB" w:bidi="ar-SA"/>
        </w:rPr>
        <w:t>barstar</w:t>
      </w:r>
      <w:r w:rsidRPr="0090684C">
        <w:rPr>
          <w:rFonts w:cs="Arial"/>
          <w:color w:val="000000" w:themeColor="text1"/>
          <w:szCs w:val="22"/>
          <w:lang w:eastAsia="en-GB" w:bidi="ar-SA"/>
        </w:rPr>
        <w:t xml:space="preserve">-specific primers. </w:t>
      </w:r>
      <w:r>
        <w:rPr>
          <w:rFonts w:cs="Arial"/>
          <w:color w:val="000000" w:themeColor="text1"/>
          <w:szCs w:val="22"/>
          <w:lang w:eastAsia="en-GB" w:bidi="ar-SA"/>
        </w:rPr>
        <w:t xml:space="preserve">The positive control (spiked with pTCO113) resulted in the expected fragments. </w:t>
      </w:r>
      <w:r w:rsidRPr="0090684C">
        <w:rPr>
          <w:rFonts w:cs="Arial"/>
          <w:color w:val="000000" w:themeColor="text1"/>
          <w:szCs w:val="22"/>
          <w:lang w:eastAsia="en-GB" w:bidi="ar-SA"/>
        </w:rPr>
        <w:t xml:space="preserve">This confirmed the absence of </w:t>
      </w:r>
      <w:r>
        <w:rPr>
          <w:rFonts w:cs="Arial"/>
          <w:color w:val="000000" w:themeColor="text1"/>
          <w:szCs w:val="22"/>
          <w:lang w:eastAsia="en-GB" w:bidi="ar-SA"/>
        </w:rPr>
        <w:t xml:space="preserve">backbone </w:t>
      </w:r>
      <w:r w:rsidRPr="0090684C">
        <w:rPr>
          <w:rFonts w:cs="Arial"/>
          <w:i/>
          <w:color w:val="000000" w:themeColor="text1"/>
          <w:szCs w:val="22"/>
          <w:lang w:eastAsia="en-GB" w:bidi="ar-SA"/>
        </w:rPr>
        <w:t>barstar</w:t>
      </w:r>
      <w:r>
        <w:rPr>
          <w:rFonts w:cs="Arial"/>
          <w:color w:val="000000" w:themeColor="text1"/>
          <w:szCs w:val="22"/>
          <w:lang w:eastAsia="en-GB" w:bidi="ar-SA"/>
        </w:rPr>
        <w:t xml:space="preserve"> in MS11.</w:t>
      </w:r>
    </w:p>
    <w:p w14:paraId="1F8D6A74" w14:textId="77777777" w:rsidR="0033454E" w:rsidRPr="0090684C" w:rsidRDefault="0033454E" w:rsidP="0033454E">
      <w:pPr>
        <w:pStyle w:val="Heading3"/>
      </w:pPr>
      <w:r w:rsidRPr="0090684C">
        <w:t>3.4.2</w:t>
      </w:r>
      <w:r w:rsidRPr="0090684C">
        <w:tab/>
      </w:r>
      <w:r>
        <w:t xml:space="preserve">Insert </w:t>
      </w:r>
      <w:r w:rsidRPr="0090684C">
        <w:t>sequence</w:t>
      </w:r>
      <w:r>
        <w:t xml:space="preserve"> and insertion site</w:t>
      </w:r>
    </w:p>
    <w:p w14:paraId="0F39AA80" w14:textId="77777777" w:rsidR="0033454E" w:rsidRPr="009B7A0C"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t>In an initial study, g</w:t>
      </w:r>
      <w:r w:rsidRPr="009B7A0C">
        <w:rPr>
          <w:rFonts w:ascii="CharterBT-Roman" w:hAnsi="CharterBT-Roman" w:cs="CharterBT-Roman"/>
          <w:color w:val="000000" w:themeColor="text1"/>
          <w:szCs w:val="22"/>
          <w:lang w:eastAsia="en-GB" w:bidi="ar-SA"/>
        </w:rPr>
        <w:t xml:space="preserve">enomic DNA was extracted from leaf tissue obtained from glasshouse-grown, </w:t>
      </w:r>
      <w:r w:rsidRPr="00706703">
        <w:rPr>
          <w:rFonts w:ascii="CharterBT-Roman" w:hAnsi="CharterBT-Roman" w:cs="CharterBT-Roman"/>
          <w:color w:val="000000" w:themeColor="text1"/>
          <w:szCs w:val="22"/>
          <w:lang w:eastAsia="en-GB" w:bidi="ar-SA"/>
        </w:rPr>
        <w:t>PCR</w:t>
      </w:r>
      <w:r w:rsidRPr="009B7A0C">
        <w:rPr>
          <w:rFonts w:ascii="CharterBT-Roman" w:hAnsi="CharterBT-Roman" w:cs="CharterBT-Roman"/>
          <w:color w:val="000000" w:themeColor="text1"/>
          <w:szCs w:val="22"/>
          <w:lang w:eastAsia="en-GB" w:bidi="ar-SA"/>
        </w:rPr>
        <w:t xml:space="preserve">-verified MS 11 </w:t>
      </w:r>
      <w:r w:rsidRPr="00C30017">
        <w:rPr>
          <w:rFonts w:ascii="CharterBT-Roman" w:hAnsi="CharterBT-Roman" w:cs="CharterBT-Roman"/>
          <w:color w:val="000000" w:themeColor="text1"/>
          <w:szCs w:val="22"/>
          <w:lang w:eastAsia="en-GB" w:bidi="ar-SA"/>
        </w:rPr>
        <w:t>plants (generation T</w:t>
      </w:r>
      <w:r w:rsidRPr="00C30017">
        <w:rPr>
          <w:rFonts w:ascii="CharterBT-Roman" w:hAnsi="CharterBT-Roman" w:cs="CharterBT-Roman"/>
          <w:color w:val="000000" w:themeColor="text1"/>
          <w:szCs w:val="22"/>
          <w:vertAlign w:val="subscript"/>
          <w:lang w:eastAsia="en-GB" w:bidi="ar-SA"/>
        </w:rPr>
        <w:t>4</w:t>
      </w:r>
      <w:r w:rsidRPr="00C30017">
        <w:rPr>
          <w:rFonts w:ascii="CharterBT-Roman" w:hAnsi="CharterBT-Roman" w:cs="CharterBT-Roman"/>
          <w:color w:val="000000" w:themeColor="text1"/>
          <w:szCs w:val="22"/>
          <w:lang w:eastAsia="en-GB" w:bidi="ar-SA"/>
        </w:rPr>
        <w:t>). Six</w:t>
      </w:r>
      <w:r w:rsidRPr="009B7A0C">
        <w:rPr>
          <w:rFonts w:ascii="CharterBT-Roman" w:hAnsi="CharterBT-Roman" w:cs="CharterBT-Roman"/>
          <w:color w:val="000000" w:themeColor="text1"/>
          <w:szCs w:val="22"/>
          <w:lang w:eastAsia="en-GB" w:bidi="ar-SA"/>
        </w:rPr>
        <w:t xml:space="preserve"> sets of oligonucleotide primers were used to amplify the insert and flanking regions as six individual overlapping fragments. </w:t>
      </w:r>
      <w:r>
        <w:rPr>
          <w:rFonts w:ascii="CharterBT-Roman" w:hAnsi="CharterBT-Roman" w:cs="CharterBT-Roman"/>
          <w:color w:val="000000" w:themeColor="text1"/>
          <w:szCs w:val="22"/>
          <w:lang w:eastAsia="en-GB" w:bidi="ar-SA"/>
        </w:rPr>
        <w:t>The wild type locus was</w:t>
      </w:r>
      <w:r w:rsidRPr="009B7A0C">
        <w:rPr>
          <w:rFonts w:ascii="CharterBT-Roman" w:hAnsi="CharterBT-Roman" w:cs="CharterBT-Roman"/>
          <w:color w:val="000000" w:themeColor="text1"/>
          <w:szCs w:val="22"/>
          <w:lang w:eastAsia="en-GB" w:bidi="ar-SA"/>
        </w:rPr>
        <w:t xml:space="preserve"> amplified in one fragment. The purified PCR fragments were shipped </w:t>
      </w:r>
      <w:r w:rsidRPr="00C5148D">
        <w:rPr>
          <w:rFonts w:ascii="CharterBT-Roman" w:hAnsi="CharterBT-Roman" w:cs="CharterBT-Roman"/>
          <w:color w:val="000000" w:themeColor="text1"/>
          <w:szCs w:val="22"/>
          <w:lang w:eastAsia="en-GB" w:bidi="ar-SA"/>
        </w:rPr>
        <w:t xml:space="preserve">to the </w:t>
      </w:r>
      <w:hyperlink r:id="rId22" w:history="1">
        <w:r w:rsidRPr="00C5148D">
          <w:rPr>
            <w:rStyle w:val="Hyperlink"/>
            <w:rFonts w:ascii="CharterBT-Roman" w:hAnsi="CharterBT-Roman" w:cs="CharterBT-Roman"/>
            <w:color w:val="0000FF"/>
            <w:szCs w:val="22"/>
            <w:lang w:eastAsia="en-GB" w:bidi="ar-SA"/>
          </w:rPr>
          <w:t>DNAVision</w:t>
        </w:r>
      </w:hyperlink>
      <w:r w:rsidRPr="009B7A0C">
        <w:rPr>
          <w:rStyle w:val="FootnoteReference"/>
          <w:rFonts w:ascii="CharterBT-Roman" w:hAnsi="CharterBT-Roman" w:cs="CharterBT-Roman"/>
          <w:color w:val="000000" w:themeColor="text1"/>
          <w:szCs w:val="22"/>
          <w:lang w:eastAsia="en-GB" w:bidi="ar-SA"/>
        </w:rPr>
        <w:footnoteReference w:id="4"/>
      </w:r>
      <w:r w:rsidRPr="009B7A0C">
        <w:rPr>
          <w:rFonts w:ascii="CharterBT-Roman" w:hAnsi="CharterBT-Roman" w:cs="CharterBT-Roman"/>
          <w:color w:val="000000" w:themeColor="text1"/>
          <w:szCs w:val="22"/>
          <w:lang w:eastAsia="en-GB" w:bidi="ar-SA"/>
        </w:rPr>
        <w:t xml:space="preserve"> test site for sequence determination using a capillary genetic analyser. The obtained sequences were aligned with the pre-insertion locus and with plasmid pTCO113. All annotations and alignments were performed using </w:t>
      </w:r>
      <w:hyperlink r:id="rId23" w:history="1">
        <w:r w:rsidRPr="009B7A0C">
          <w:rPr>
            <w:rStyle w:val="Hyperlink"/>
            <w:rFonts w:ascii="CharterBT-Roman" w:hAnsi="CharterBT-Roman" w:cs="CharterBT-Roman"/>
            <w:color w:val="0000FF"/>
            <w:szCs w:val="22"/>
            <w:lang w:eastAsia="en-GB" w:bidi="ar-SA"/>
          </w:rPr>
          <w:t>Clone Manager</w:t>
        </w:r>
      </w:hyperlink>
      <w:r>
        <w:rPr>
          <w:rStyle w:val="FootnoteReference"/>
          <w:rFonts w:ascii="CharterBT-Roman" w:hAnsi="CharterBT-Roman" w:cs="CharterBT-Roman"/>
          <w:color w:val="0000FF"/>
          <w:szCs w:val="22"/>
          <w:u w:val="single"/>
          <w:lang w:eastAsia="en-GB" w:bidi="ar-SA"/>
        </w:rPr>
        <w:footnoteReference w:id="5"/>
      </w:r>
      <w:r w:rsidRPr="009B7A0C">
        <w:rPr>
          <w:rFonts w:ascii="CharterBT-Roman" w:hAnsi="CharterBT-Roman" w:cs="CharterBT-Roman"/>
          <w:color w:val="000000" w:themeColor="text1"/>
          <w:szCs w:val="22"/>
          <w:lang w:eastAsia="en-GB" w:bidi="ar-SA"/>
        </w:rPr>
        <w:t xml:space="preserve"> software.</w:t>
      </w:r>
    </w:p>
    <w:p w14:paraId="324EB97B" w14:textId="77777777" w:rsidR="0033454E" w:rsidRPr="009B7A0C"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112E7A61" w14:textId="77777777" w:rsidR="0033454E" w:rsidRPr="009534F8" w:rsidRDefault="0033454E" w:rsidP="0033454E">
      <w:pPr>
        <w:widowControl/>
        <w:autoSpaceDE w:val="0"/>
        <w:autoSpaceDN w:val="0"/>
        <w:adjustRightInd w:val="0"/>
        <w:rPr>
          <w:color w:val="000000" w:themeColor="text1"/>
        </w:rPr>
      </w:pPr>
      <w:r w:rsidRPr="009B7A0C">
        <w:rPr>
          <w:rFonts w:ascii="CharterBT-Roman" w:hAnsi="CharterBT-Roman" w:cs="CharterBT-Roman"/>
          <w:color w:val="000000" w:themeColor="text1"/>
          <w:szCs w:val="22"/>
          <w:lang w:eastAsia="en-GB" w:bidi="ar-SA"/>
        </w:rPr>
        <w:t xml:space="preserve">In total, 6,753 bp of MS11 sequence were confirmed, containing 5,778 bp of intact sequence identical to sequence between the 3’g7 terminator of the </w:t>
      </w:r>
      <w:r w:rsidRPr="009B7A0C">
        <w:rPr>
          <w:rFonts w:ascii="CharterBT-Roman" w:hAnsi="CharterBT-Roman" w:cs="CharterBT-Roman"/>
          <w:i/>
          <w:color w:val="000000" w:themeColor="text1"/>
          <w:szCs w:val="22"/>
          <w:lang w:eastAsia="en-GB" w:bidi="ar-SA"/>
        </w:rPr>
        <w:t>bar</w:t>
      </w:r>
      <w:r w:rsidRPr="009B7A0C">
        <w:rPr>
          <w:rFonts w:ascii="CharterBT-Roman" w:hAnsi="CharterBT-Roman" w:cs="CharterBT-Roman"/>
          <w:color w:val="000000" w:themeColor="text1"/>
          <w:szCs w:val="22"/>
          <w:lang w:eastAsia="en-GB" w:bidi="ar-SA"/>
        </w:rPr>
        <w:t xml:space="preserve"> cassette and the 3’g7 sequence of the </w:t>
      </w:r>
      <w:r w:rsidRPr="009B7A0C">
        <w:rPr>
          <w:rFonts w:ascii="CharterBT-Roman" w:hAnsi="CharterBT-Roman" w:cs="CharterBT-Roman"/>
          <w:i/>
          <w:color w:val="000000" w:themeColor="text1"/>
          <w:szCs w:val="22"/>
          <w:lang w:eastAsia="en-GB" w:bidi="ar-SA"/>
        </w:rPr>
        <w:t>barstar</w:t>
      </w:r>
      <w:r w:rsidRPr="009B7A0C">
        <w:rPr>
          <w:rFonts w:ascii="CharterBT-Roman" w:hAnsi="CharterBT-Roman" w:cs="CharterBT-Roman"/>
          <w:color w:val="000000" w:themeColor="text1"/>
          <w:szCs w:val="22"/>
          <w:lang w:eastAsia="en-GB" w:bidi="ar-SA"/>
        </w:rPr>
        <w:t xml:space="preserve"> cassette of pTCO113 (</w:t>
      </w:r>
      <w:r w:rsidRPr="009534F8">
        <w:rPr>
          <w:rFonts w:ascii="CharterBT-Roman" w:hAnsi="CharterBT-Roman" w:cs="CharterBT-Roman"/>
          <w:color w:val="000000" w:themeColor="text1"/>
          <w:szCs w:val="22"/>
          <w:lang w:eastAsia="en-GB" w:bidi="ar-SA"/>
        </w:rPr>
        <w:t xml:space="preserve">see Table 1). This further confirmed that the insert consists of one copy of the three cassettes. At the 5’ and 3’ ends past this intact sequence, 419 bp and 556 bp respectively were sequenced. It was however, not possible to ascertain the origin/identity of the most proximal of these sequences since there were spans of sequence that were identical to both potential inserted sequences and potential pre-insertion site sequences i.e. it was not possible to say with certainty whether any RB or LB border sequences had been incorporated and how much of the intervening sequences between the LB and RB and the 5,778 bp insert had been incorporated. It is noted that </w:t>
      </w:r>
      <w:r w:rsidRPr="009534F8">
        <w:rPr>
          <w:color w:val="000000" w:themeColor="text1"/>
        </w:rPr>
        <w:t xml:space="preserve">the truncation of the border sequences is not uncommon for </w:t>
      </w:r>
      <w:r w:rsidRPr="009534F8">
        <w:rPr>
          <w:i/>
          <w:color w:val="000000" w:themeColor="text1"/>
        </w:rPr>
        <w:t>Agrobacterium</w:t>
      </w:r>
      <w:r w:rsidRPr="009534F8">
        <w:rPr>
          <w:color w:val="000000" w:themeColor="text1"/>
        </w:rPr>
        <w:t xml:space="preserve">-mediated transformation events </w:t>
      </w:r>
      <w:r>
        <w:rPr>
          <w:noProof/>
          <w:color w:val="000000" w:themeColor="text1"/>
        </w:rPr>
        <w:t>(Tzfira et al. 2004; Kim et al. 2007)</w:t>
      </w:r>
      <w:r w:rsidRPr="009534F8">
        <w:rPr>
          <w:color w:val="000000" w:themeColor="text1"/>
        </w:rPr>
        <w:t xml:space="preserve"> and therefore may have occurred in MS11.</w:t>
      </w:r>
    </w:p>
    <w:p w14:paraId="3F1994C9" w14:textId="77777777" w:rsidR="0033454E" w:rsidRPr="009534F8" w:rsidRDefault="0033454E" w:rsidP="0033454E">
      <w:pPr>
        <w:widowControl/>
        <w:autoSpaceDE w:val="0"/>
        <w:autoSpaceDN w:val="0"/>
        <w:adjustRightInd w:val="0"/>
        <w:rPr>
          <w:color w:val="000000" w:themeColor="text1"/>
        </w:rPr>
      </w:pPr>
    </w:p>
    <w:p w14:paraId="311336B4" w14:textId="38A55711" w:rsidR="0033454E" w:rsidRPr="004C388E" w:rsidRDefault="0033454E" w:rsidP="00AD4317">
      <w:pPr>
        <w:widowControl/>
        <w:autoSpaceDE w:val="0"/>
        <w:autoSpaceDN w:val="0"/>
        <w:adjustRightInd w:val="0"/>
        <w:rPr>
          <w:rFonts w:cs="Arial"/>
          <w:color w:val="000000" w:themeColor="text1"/>
          <w:szCs w:val="22"/>
          <w:lang w:eastAsia="en-GB" w:bidi="ar-SA"/>
        </w:rPr>
      </w:pPr>
      <w:r w:rsidRPr="009534F8">
        <w:rPr>
          <w:color w:val="000000" w:themeColor="text1"/>
        </w:rPr>
        <w:t>Alignment of the MS11 sequence with the pre-insertion locus indicated that there was a 1 bp addition and a 40 bp target site deletion. A representation of the final transgenic locus in MS11 is given in Figure 4.</w:t>
      </w:r>
      <w:r w:rsidRPr="004C388E">
        <w:rPr>
          <w:color w:val="000000" w:themeColor="text1"/>
        </w:rPr>
        <w:t xml:space="preserve"> </w:t>
      </w:r>
    </w:p>
    <w:p w14:paraId="49265D99" w14:textId="77777777" w:rsidR="0033454E" w:rsidRPr="00AB1F10" w:rsidRDefault="0033454E" w:rsidP="0033454E">
      <w:pPr>
        <w:keepNext/>
        <w:rPr>
          <w:color w:val="000000" w:themeColor="text1"/>
        </w:rPr>
      </w:pPr>
      <w:r w:rsidRPr="00AB1F10">
        <w:rPr>
          <w:noProof/>
          <w:color w:val="000000" w:themeColor="text1"/>
          <w:lang w:eastAsia="en-GB" w:bidi="ar-SA"/>
        </w:rPr>
        <w:lastRenderedPageBreak/>
        <w:drawing>
          <wp:inline distT="0" distB="0" distL="0" distR="0" wp14:anchorId="3B08E02D" wp14:editId="5E8CF7CF">
            <wp:extent cx="5495925" cy="2800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95925" cy="2800350"/>
                    </a:xfrm>
                    <a:prstGeom prst="rect">
                      <a:avLst/>
                    </a:prstGeom>
                    <a:noFill/>
                    <a:ln>
                      <a:noFill/>
                    </a:ln>
                  </pic:spPr>
                </pic:pic>
              </a:graphicData>
            </a:graphic>
          </wp:inline>
        </w:drawing>
      </w:r>
    </w:p>
    <w:p w14:paraId="5FE197FD" w14:textId="77777777" w:rsidR="0033454E" w:rsidRDefault="0033454E" w:rsidP="00AD4317">
      <w:pPr>
        <w:pStyle w:val="FSFigureTitle"/>
        <w:jc w:val="center"/>
      </w:pPr>
      <w:bookmarkStart w:id="26" w:name="_Toc480537711"/>
      <w:r w:rsidRPr="00AB1F10">
        <w:t xml:space="preserve">Figure </w:t>
      </w:r>
      <w:r>
        <w:fldChar w:fldCharType="begin"/>
      </w:r>
      <w:r>
        <w:instrText xml:space="preserve"> SEQ Figure \* ARABIC </w:instrText>
      </w:r>
      <w:r>
        <w:fldChar w:fldCharType="separate"/>
      </w:r>
      <w:r w:rsidR="007D76F3">
        <w:rPr>
          <w:noProof/>
        </w:rPr>
        <w:t>4</w:t>
      </w:r>
      <w:r>
        <w:rPr>
          <w:noProof/>
        </w:rPr>
        <w:fldChar w:fldCharType="end"/>
      </w:r>
      <w:r w:rsidRPr="00AB1F10">
        <w:t>: Representation of the map position of the T-DNA insert in the N90-740 genome</w:t>
      </w:r>
      <w:bookmarkEnd w:id="26"/>
    </w:p>
    <w:p w14:paraId="6C90A3D8" w14:textId="77777777" w:rsidR="0033454E" w:rsidRDefault="0033454E" w:rsidP="0033454E"/>
    <w:p w14:paraId="03EA74A2" w14:textId="77777777" w:rsidR="0033454E" w:rsidRPr="003311BA" w:rsidRDefault="0033454E" w:rsidP="0033454E">
      <w:pPr>
        <w:widowControl/>
        <w:autoSpaceDE w:val="0"/>
        <w:autoSpaceDN w:val="0"/>
        <w:adjustRightInd w:val="0"/>
        <w:rPr>
          <w:rFonts w:cs="Arial"/>
          <w:szCs w:val="22"/>
          <w:lang w:eastAsia="en-GB" w:bidi="ar-SA"/>
        </w:rPr>
      </w:pPr>
      <w:r>
        <w:t xml:space="preserve">An additional study was undertaken to sequence at least </w:t>
      </w:r>
      <w:r w:rsidRPr="00012FE6">
        <w:t>1Kb</w:t>
      </w:r>
      <w:r>
        <w:t xml:space="preserve"> of each of the 5’ and 3’ flanking regions and obtain more information about the insertion locus. </w:t>
      </w:r>
      <w:r>
        <w:rPr>
          <w:rFonts w:ascii="CharterBT-Roman" w:hAnsi="CharterBT-Roman" w:cs="CharterBT-Roman"/>
          <w:color w:val="000000" w:themeColor="text1"/>
          <w:szCs w:val="22"/>
          <w:lang w:eastAsia="en-GB" w:bidi="ar-SA"/>
        </w:rPr>
        <w:t>G</w:t>
      </w:r>
      <w:r w:rsidRPr="009B7A0C">
        <w:rPr>
          <w:rFonts w:ascii="CharterBT-Roman" w:hAnsi="CharterBT-Roman" w:cs="CharterBT-Roman"/>
          <w:color w:val="000000" w:themeColor="text1"/>
          <w:szCs w:val="22"/>
          <w:lang w:eastAsia="en-GB" w:bidi="ar-SA"/>
        </w:rPr>
        <w:t xml:space="preserve">enomic DNA was extracted from leaf tissue obtained from glasshouse-grown, PCR-verified MS 11 </w:t>
      </w:r>
      <w:r w:rsidRPr="00C30017">
        <w:rPr>
          <w:rFonts w:ascii="CharterBT-Roman" w:hAnsi="CharterBT-Roman" w:cs="CharterBT-Roman"/>
          <w:color w:val="000000" w:themeColor="text1"/>
          <w:szCs w:val="22"/>
          <w:lang w:eastAsia="en-GB" w:bidi="ar-SA"/>
        </w:rPr>
        <w:t>plants (generation T</w:t>
      </w:r>
      <w:r w:rsidRPr="00C30017">
        <w:rPr>
          <w:rFonts w:ascii="CharterBT-Roman" w:hAnsi="CharterBT-Roman" w:cs="CharterBT-Roman"/>
          <w:color w:val="000000" w:themeColor="text1"/>
          <w:szCs w:val="22"/>
          <w:vertAlign w:val="subscript"/>
          <w:lang w:eastAsia="en-GB" w:bidi="ar-SA"/>
        </w:rPr>
        <w:t>2</w:t>
      </w:r>
      <w:r w:rsidRPr="00C30017">
        <w:rPr>
          <w:rFonts w:ascii="CharterBT-Roman" w:hAnsi="CharterBT-Roman" w:cs="CharterBT-Roman"/>
          <w:color w:val="000000" w:themeColor="text1"/>
          <w:szCs w:val="22"/>
          <w:lang w:eastAsia="en-GB" w:bidi="ar-SA"/>
        </w:rPr>
        <w:t>)</w:t>
      </w:r>
      <w:r>
        <w:rPr>
          <w:rFonts w:ascii="CharterBT-Roman" w:hAnsi="CharterBT-Roman" w:cs="CharterBT-Roman"/>
          <w:color w:val="000000" w:themeColor="text1"/>
          <w:szCs w:val="22"/>
          <w:lang w:eastAsia="en-GB" w:bidi="ar-SA"/>
        </w:rPr>
        <w:t xml:space="preserve"> and from verified non-GM N90-740 plants. Additional primers to those described previously were used to generate more fragments and Sanger sequencing was performed using the </w:t>
      </w:r>
      <w:hyperlink r:id="rId25" w:history="1">
        <w:r w:rsidRPr="00EE15C9">
          <w:rPr>
            <w:rStyle w:val="Hyperlink"/>
            <w:rFonts w:ascii="CharterBT-Roman" w:hAnsi="CharterBT-Roman" w:cs="CharterBT-Roman"/>
            <w:szCs w:val="22"/>
            <w:lang w:eastAsia="en-GB" w:bidi="ar-SA"/>
          </w:rPr>
          <w:t>BigDye® Terminator Cycle Sequencing Kit</w:t>
        </w:r>
      </w:hyperlink>
      <w:r>
        <w:rPr>
          <w:rStyle w:val="FootnoteReference"/>
          <w:rFonts w:ascii="CharterBT-Roman" w:hAnsi="CharterBT-Roman" w:cs="CharterBT-Roman"/>
          <w:color w:val="000000" w:themeColor="text1"/>
          <w:szCs w:val="22"/>
          <w:lang w:eastAsia="en-GB" w:bidi="ar-SA"/>
        </w:rPr>
        <w:footnoteReference w:id="6"/>
      </w:r>
      <w:r>
        <w:rPr>
          <w:rFonts w:ascii="CharterBT-Roman" w:hAnsi="CharterBT-Roman" w:cs="CharterBT-Roman"/>
          <w:color w:val="000000" w:themeColor="text1"/>
          <w:szCs w:val="22"/>
          <w:lang w:eastAsia="en-GB" w:bidi="ar-SA"/>
        </w:rPr>
        <w:t xml:space="preserve">. </w:t>
      </w:r>
      <w:r w:rsidRPr="003311BA">
        <w:rPr>
          <w:rFonts w:cs="Arial"/>
          <w:color w:val="000000" w:themeColor="text1"/>
          <w:szCs w:val="22"/>
          <w:lang w:eastAsia="en-GB" w:bidi="ar-SA"/>
        </w:rPr>
        <w:t xml:space="preserve">The consensus sequences of the amplified fragments of the transgenic and insertion locus were analysed through Clone Manager software. The extended sequences were merged with the previously obtained sequences and validated by comparing with the </w:t>
      </w:r>
      <w:r w:rsidRPr="003311BA">
        <w:rPr>
          <w:rFonts w:cs="Arial"/>
          <w:szCs w:val="22"/>
          <w:lang w:eastAsia="en-GB" w:bidi="ar-SA"/>
        </w:rPr>
        <w:t>consensus sequences of the amplified insertion locus fragment and with the original MS11 insertion locus sequence. Finally the extended transgenic sequence was compared with the extended insertion locus sequence.</w:t>
      </w:r>
    </w:p>
    <w:p w14:paraId="54891230" w14:textId="77777777" w:rsidR="0033454E" w:rsidRPr="003311BA" w:rsidRDefault="0033454E" w:rsidP="0033454E">
      <w:pPr>
        <w:widowControl/>
        <w:autoSpaceDE w:val="0"/>
        <w:autoSpaceDN w:val="0"/>
        <w:adjustRightInd w:val="0"/>
        <w:rPr>
          <w:rFonts w:cs="Arial"/>
          <w:szCs w:val="22"/>
          <w:lang w:eastAsia="en-GB" w:bidi="ar-SA"/>
        </w:rPr>
      </w:pPr>
    </w:p>
    <w:p w14:paraId="298BA324" w14:textId="77777777" w:rsidR="0033454E" w:rsidRDefault="0033454E" w:rsidP="0033454E">
      <w:pPr>
        <w:widowControl/>
        <w:autoSpaceDE w:val="0"/>
        <w:autoSpaceDN w:val="0"/>
        <w:adjustRightInd w:val="0"/>
        <w:rPr>
          <w:rFonts w:cs="Arial"/>
          <w:szCs w:val="22"/>
          <w:lang w:eastAsia="en-GB" w:bidi="ar-SA"/>
        </w:rPr>
      </w:pPr>
      <w:r w:rsidRPr="003311BA">
        <w:rPr>
          <w:rFonts w:cs="Arial"/>
          <w:szCs w:val="22"/>
          <w:lang w:eastAsia="en-GB" w:bidi="ar-SA"/>
        </w:rPr>
        <w:t>The final MS11 transgenic locus consisted of 8209 bp, which included 1129 bp of 5’ flanking sequence, 1302 bp of 3’ flanking sequence and the same 5,778 bp of sequence from pTCO113 as previously identified.</w:t>
      </w:r>
      <w:r>
        <w:rPr>
          <w:rFonts w:cs="Arial"/>
          <w:szCs w:val="22"/>
          <w:lang w:eastAsia="en-GB" w:bidi="ar-SA"/>
        </w:rPr>
        <w:t xml:space="preserve"> The flanking sequences were shown to correspond to sequences in the insertion locus of the N90-740 host and therefore to be of </w:t>
      </w:r>
      <w:r w:rsidRPr="003311BA">
        <w:rPr>
          <w:rFonts w:cs="Arial"/>
          <w:i/>
          <w:szCs w:val="22"/>
          <w:lang w:eastAsia="en-GB" w:bidi="ar-SA"/>
        </w:rPr>
        <w:t>B. napus</w:t>
      </w:r>
      <w:r>
        <w:rPr>
          <w:rFonts w:cs="Arial"/>
          <w:szCs w:val="22"/>
          <w:lang w:eastAsia="en-GB" w:bidi="ar-SA"/>
        </w:rPr>
        <w:t xml:space="preserve"> origin.</w:t>
      </w:r>
    </w:p>
    <w:p w14:paraId="6CFE5E89" w14:textId="77777777" w:rsidR="0033454E" w:rsidRDefault="0033454E" w:rsidP="0033454E">
      <w:pPr>
        <w:widowControl/>
        <w:autoSpaceDE w:val="0"/>
        <w:autoSpaceDN w:val="0"/>
        <w:adjustRightInd w:val="0"/>
        <w:rPr>
          <w:rFonts w:cs="Arial"/>
          <w:szCs w:val="22"/>
          <w:lang w:eastAsia="en-GB" w:bidi="ar-SA"/>
        </w:rPr>
      </w:pPr>
    </w:p>
    <w:p w14:paraId="757DB264" w14:textId="77777777" w:rsidR="0033454E" w:rsidRDefault="0033454E" w:rsidP="0033454E">
      <w:pPr>
        <w:widowControl/>
        <w:autoSpaceDE w:val="0"/>
        <w:autoSpaceDN w:val="0"/>
        <w:adjustRightInd w:val="0"/>
        <w:rPr>
          <w:rFonts w:cs="Arial"/>
          <w:szCs w:val="22"/>
          <w:lang w:eastAsia="en-GB" w:bidi="ar-SA"/>
        </w:rPr>
      </w:pPr>
      <w:r>
        <w:rPr>
          <w:rFonts w:cs="Arial"/>
          <w:szCs w:val="22"/>
          <w:lang w:eastAsia="en-GB" w:bidi="ar-SA"/>
        </w:rPr>
        <w:t>Bioinformatics analyse</w:t>
      </w:r>
      <w:r w:rsidRPr="00264B5B">
        <w:rPr>
          <w:rFonts w:cs="Arial"/>
          <w:szCs w:val="22"/>
          <w:lang w:eastAsia="en-GB" w:bidi="ar-SA"/>
        </w:rPr>
        <w:t>s of the insertion locus was undertaken in order to ascertain a)</w:t>
      </w:r>
      <w:r>
        <w:rPr>
          <w:rFonts w:cs="Arial"/>
          <w:szCs w:val="22"/>
          <w:lang w:eastAsia="en-GB" w:bidi="ar-SA"/>
        </w:rPr>
        <w:t xml:space="preserve"> </w:t>
      </w:r>
      <w:r w:rsidRPr="00264B5B">
        <w:rPr>
          <w:rFonts w:cs="Arial"/>
          <w:szCs w:val="22"/>
          <w:lang w:eastAsia="en-GB" w:bidi="ar-SA"/>
        </w:rPr>
        <w:t xml:space="preserve">whether there had been any disruption of endogenous genes as a result </w:t>
      </w:r>
      <w:r>
        <w:rPr>
          <w:rFonts w:cs="Arial"/>
          <w:szCs w:val="22"/>
          <w:lang w:eastAsia="en-GB" w:bidi="ar-SA"/>
        </w:rPr>
        <w:t>of the transformation procedure and b)</w:t>
      </w:r>
      <w:r w:rsidRPr="00264B5B">
        <w:rPr>
          <w:rFonts w:cs="Arial"/>
          <w:szCs w:val="22"/>
          <w:lang w:eastAsia="en-GB" w:bidi="ar-SA"/>
        </w:rPr>
        <w:t xml:space="preserve"> the location of</w:t>
      </w:r>
      <w:r>
        <w:rPr>
          <w:rFonts w:cs="Arial"/>
          <w:szCs w:val="22"/>
          <w:lang w:eastAsia="en-GB" w:bidi="ar-SA"/>
        </w:rPr>
        <w:t xml:space="preserve"> the insert in the genome.</w:t>
      </w:r>
      <w:r w:rsidRPr="00264B5B">
        <w:rPr>
          <w:rFonts w:cs="Arial"/>
          <w:szCs w:val="22"/>
          <w:lang w:eastAsia="en-GB" w:bidi="ar-SA"/>
        </w:rPr>
        <w:t xml:space="preserve"> The full 8209 bp sequence was used as the query sequence. </w:t>
      </w:r>
    </w:p>
    <w:p w14:paraId="7231937F" w14:textId="77777777" w:rsidR="0033454E" w:rsidRDefault="0033454E" w:rsidP="0033454E">
      <w:pPr>
        <w:widowControl/>
        <w:autoSpaceDE w:val="0"/>
        <w:autoSpaceDN w:val="0"/>
        <w:adjustRightInd w:val="0"/>
        <w:rPr>
          <w:rFonts w:cs="Arial"/>
          <w:szCs w:val="22"/>
          <w:lang w:eastAsia="en-GB" w:bidi="ar-SA"/>
        </w:rPr>
      </w:pPr>
    </w:p>
    <w:p w14:paraId="72F46200" w14:textId="77777777" w:rsidR="0033454E" w:rsidRDefault="0033454E" w:rsidP="0033454E">
      <w:pPr>
        <w:widowControl/>
        <w:autoSpaceDE w:val="0"/>
        <w:autoSpaceDN w:val="0"/>
        <w:adjustRightInd w:val="0"/>
        <w:rPr>
          <w:rFonts w:cs="Arial"/>
          <w:szCs w:val="22"/>
          <w:lang w:eastAsia="en-GB" w:bidi="ar-SA"/>
        </w:rPr>
      </w:pPr>
      <w:r>
        <w:rPr>
          <w:rFonts w:cs="Arial"/>
          <w:szCs w:val="22"/>
          <w:lang w:eastAsia="en-GB" w:bidi="ar-SA"/>
        </w:rPr>
        <w:t xml:space="preserve">A </w:t>
      </w:r>
      <w:hyperlink r:id="rId26" w:history="1">
        <w:r w:rsidRPr="00C03BDB">
          <w:rPr>
            <w:rStyle w:val="Hyperlink"/>
            <w:rFonts w:cs="Arial"/>
            <w:szCs w:val="22"/>
            <w:lang w:eastAsia="en-GB" w:bidi="ar-SA"/>
          </w:rPr>
          <w:t>BLAST</w:t>
        </w:r>
      </w:hyperlink>
      <w:r>
        <w:rPr>
          <w:rStyle w:val="FootnoteReference"/>
          <w:rFonts w:cs="Arial"/>
          <w:szCs w:val="22"/>
          <w:lang w:eastAsia="en-GB" w:bidi="ar-SA"/>
        </w:rPr>
        <w:footnoteReference w:id="7"/>
      </w:r>
      <w:r>
        <w:rPr>
          <w:rFonts w:cs="Arial"/>
          <w:szCs w:val="22"/>
          <w:lang w:eastAsia="en-GB" w:bidi="ar-SA"/>
        </w:rPr>
        <w:t xml:space="preserve"> (</w:t>
      </w:r>
      <w:r w:rsidRPr="00C03BDB">
        <w:rPr>
          <w:rFonts w:cs="Arial"/>
          <w:szCs w:val="22"/>
          <w:u w:val="single"/>
          <w:lang w:eastAsia="en-GB" w:bidi="ar-SA"/>
        </w:rPr>
        <w:t>B</w:t>
      </w:r>
      <w:r>
        <w:rPr>
          <w:rFonts w:cs="Arial"/>
          <w:szCs w:val="22"/>
          <w:lang w:eastAsia="en-GB" w:bidi="ar-SA"/>
        </w:rPr>
        <w:t xml:space="preserve">asic </w:t>
      </w:r>
      <w:r w:rsidRPr="00C03BDB">
        <w:rPr>
          <w:rFonts w:cs="Arial"/>
          <w:szCs w:val="22"/>
          <w:u w:val="single"/>
          <w:lang w:eastAsia="en-GB" w:bidi="ar-SA"/>
        </w:rPr>
        <w:t>L</w:t>
      </w:r>
      <w:r>
        <w:rPr>
          <w:rFonts w:cs="Arial"/>
          <w:szCs w:val="22"/>
          <w:lang w:eastAsia="en-GB" w:bidi="ar-SA"/>
        </w:rPr>
        <w:t xml:space="preserve">ocal </w:t>
      </w:r>
      <w:r w:rsidRPr="00C03BDB">
        <w:rPr>
          <w:rFonts w:cs="Arial"/>
          <w:szCs w:val="22"/>
          <w:u w:val="single"/>
          <w:lang w:eastAsia="en-GB" w:bidi="ar-SA"/>
        </w:rPr>
        <w:t>A</w:t>
      </w:r>
      <w:r>
        <w:rPr>
          <w:rFonts w:cs="Arial"/>
          <w:szCs w:val="22"/>
          <w:lang w:eastAsia="en-GB" w:bidi="ar-SA"/>
        </w:rPr>
        <w:t xml:space="preserve">lignment </w:t>
      </w:r>
      <w:r w:rsidRPr="00C03BDB">
        <w:rPr>
          <w:rFonts w:cs="Arial"/>
          <w:szCs w:val="22"/>
          <w:u w:val="single"/>
          <w:lang w:eastAsia="en-GB" w:bidi="ar-SA"/>
        </w:rPr>
        <w:t>S</w:t>
      </w:r>
      <w:r>
        <w:rPr>
          <w:rFonts w:cs="Arial"/>
          <w:szCs w:val="22"/>
          <w:lang w:eastAsia="en-GB" w:bidi="ar-SA"/>
        </w:rPr>
        <w:t xml:space="preserve">earch </w:t>
      </w:r>
      <w:r w:rsidRPr="00C03BDB">
        <w:rPr>
          <w:rFonts w:cs="Arial"/>
          <w:szCs w:val="22"/>
          <w:u w:val="single"/>
          <w:lang w:eastAsia="en-GB" w:bidi="ar-SA"/>
        </w:rPr>
        <w:t>T</w:t>
      </w:r>
      <w:r>
        <w:rPr>
          <w:rFonts w:cs="Arial"/>
          <w:szCs w:val="22"/>
          <w:lang w:eastAsia="en-GB" w:bidi="ar-SA"/>
        </w:rPr>
        <w:t xml:space="preserve">ool) analysis </w:t>
      </w:r>
      <w:r>
        <w:rPr>
          <w:rFonts w:cs="Arial"/>
          <w:noProof/>
          <w:szCs w:val="22"/>
          <w:lang w:eastAsia="en-GB" w:bidi="ar-SA"/>
        </w:rPr>
        <w:t>(Altschul et al. 1990)</w:t>
      </w:r>
      <w:r>
        <w:rPr>
          <w:rFonts w:cs="Arial"/>
          <w:szCs w:val="22"/>
          <w:lang w:eastAsia="en-GB" w:bidi="ar-SA"/>
        </w:rPr>
        <w:t>, available on the NCBI (</w:t>
      </w:r>
      <w:hyperlink r:id="rId27" w:history="1">
        <w:r w:rsidRPr="00773BED">
          <w:rPr>
            <w:rStyle w:val="Hyperlink"/>
            <w:rFonts w:cs="Arial"/>
            <w:szCs w:val="22"/>
            <w:lang w:eastAsia="en-GB" w:bidi="ar-SA"/>
          </w:rPr>
          <w:t>National Center for Biotechnology Information</w:t>
        </w:r>
      </w:hyperlink>
      <w:r>
        <w:rPr>
          <w:rStyle w:val="FootnoteReference"/>
          <w:rFonts w:cs="Arial"/>
          <w:szCs w:val="22"/>
          <w:lang w:eastAsia="en-GB" w:bidi="ar-SA"/>
        </w:rPr>
        <w:footnoteReference w:id="8"/>
      </w:r>
      <w:r>
        <w:rPr>
          <w:rFonts w:cs="Arial"/>
          <w:szCs w:val="22"/>
          <w:lang w:eastAsia="en-GB" w:bidi="ar-SA"/>
        </w:rPr>
        <w:t xml:space="preserve">) website, was used to compare the query sequence (or its translation) with sequences of known genes/proteins/expressed sequence tags. This search indicated the presence of one endogenous gene in the 3’ flanking region of the insert but this was not interrupted. Sequence similarities to a number of coding sequences associated with genes from other species were also found in the 3’ flanking region but, again, none of these sequences were disrupted. </w:t>
      </w:r>
    </w:p>
    <w:p w14:paraId="24608560" w14:textId="49093EE9" w:rsidR="0093373F" w:rsidRDefault="0093373F" w:rsidP="0033454E">
      <w:pPr>
        <w:widowControl/>
        <w:autoSpaceDE w:val="0"/>
        <w:autoSpaceDN w:val="0"/>
        <w:adjustRightInd w:val="0"/>
        <w:rPr>
          <w:rFonts w:cs="Arial"/>
          <w:szCs w:val="22"/>
          <w:lang w:eastAsia="en-GB" w:bidi="ar-SA"/>
        </w:rPr>
      </w:pPr>
      <w:r>
        <w:rPr>
          <w:rFonts w:cs="Arial"/>
          <w:szCs w:val="22"/>
          <w:lang w:eastAsia="en-GB" w:bidi="ar-SA"/>
        </w:rPr>
        <w:br w:type="page"/>
      </w:r>
    </w:p>
    <w:p w14:paraId="18C15BFA" w14:textId="77777777" w:rsidR="00012EF3" w:rsidRPr="00264B5B" w:rsidRDefault="0033454E" w:rsidP="00012EF3">
      <w:pPr>
        <w:widowControl/>
        <w:autoSpaceDE w:val="0"/>
        <w:autoSpaceDN w:val="0"/>
        <w:adjustRightInd w:val="0"/>
        <w:rPr>
          <w:rFonts w:cs="Arial"/>
          <w:i/>
          <w:iCs/>
          <w:szCs w:val="22"/>
          <w:lang w:eastAsia="en-GB" w:bidi="ar-SA"/>
        </w:rPr>
      </w:pPr>
      <w:r w:rsidRPr="00264B5B">
        <w:rPr>
          <w:rFonts w:cs="Arial"/>
          <w:szCs w:val="22"/>
          <w:lang w:eastAsia="en-GB" w:bidi="ar-SA"/>
        </w:rPr>
        <w:lastRenderedPageBreak/>
        <w:t>Similarities between the MS11 insertion locus and sequences in the unmodified host</w:t>
      </w:r>
      <w:r w:rsidRPr="00264B5B">
        <w:rPr>
          <w:rFonts w:cs="Arial"/>
          <w:i/>
          <w:iCs/>
          <w:szCs w:val="22"/>
          <w:lang w:eastAsia="en-GB" w:bidi="ar-SA"/>
        </w:rPr>
        <w:t xml:space="preserve"> </w:t>
      </w:r>
      <w:r w:rsidRPr="00264B5B">
        <w:rPr>
          <w:rFonts w:cs="Arial"/>
          <w:szCs w:val="22"/>
          <w:lang w:eastAsia="en-GB" w:bidi="ar-SA"/>
        </w:rPr>
        <w:t xml:space="preserve">were identified </w:t>
      </w:r>
      <w:r w:rsidRPr="00012FE6">
        <w:rPr>
          <w:rFonts w:cs="Arial"/>
          <w:szCs w:val="22"/>
          <w:lang w:eastAsia="en-GB" w:bidi="ar-SA"/>
        </w:rPr>
        <w:t>using BLAT</w:t>
      </w:r>
      <w:r w:rsidRPr="00012FE6">
        <w:rPr>
          <w:rStyle w:val="FootnoteReference"/>
          <w:rFonts w:cs="Arial"/>
          <w:szCs w:val="22"/>
          <w:lang w:eastAsia="en-GB" w:bidi="ar-SA"/>
        </w:rPr>
        <w:footnoteReference w:id="9"/>
      </w:r>
      <w:r w:rsidRPr="00012FE6">
        <w:rPr>
          <w:rFonts w:cs="Arial"/>
          <w:szCs w:val="22"/>
          <w:lang w:eastAsia="en-GB" w:bidi="ar-SA"/>
        </w:rPr>
        <w:t xml:space="preserve"> (BLAST-</w:t>
      </w:r>
      <w:r w:rsidRPr="00264B5B">
        <w:rPr>
          <w:rFonts w:cs="Arial"/>
          <w:szCs w:val="22"/>
          <w:lang w:eastAsia="en-GB" w:bidi="ar-SA"/>
        </w:rPr>
        <w:t xml:space="preserve">like alignment tool) and a </w:t>
      </w:r>
      <w:r w:rsidRPr="00264B5B">
        <w:rPr>
          <w:rFonts w:cs="Arial"/>
          <w:i/>
          <w:iCs/>
          <w:szCs w:val="22"/>
          <w:lang w:eastAsia="en-GB" w:bidi="ar-SA"/>
        </w:rPr>
        <w:t xml:space="preserve">B. napus </w:t>
      </w:r>
      <w:r w:rsidRPr="00264B5B">
        <w:rPr>
          <w:rFonts w:cs="Arial"/>
          <w:szCs w:val="22"/>
          <w:lang w:eastAsia="en-GB" w:bidi="ar-SA"/>
        </w:rPr>
        <w:t xml:space="preserve">reference genome </w:t>
      </w:r>
      <w:r>
        <w:rPr>
          <w:rFonts w:cs="Arial"/>
          <w:noProof/>
          <w:szCs w:val="22"/>
          <w:lang w:eastAsia="en-GB" w:bidi="ar-SA"/>
        </w:rPr>
        <w:t>(Chalhoub et al. 2014)</w:t>
      </w:r>
      <w:r w:rsidRPr="00264B5B">
        <w:rPr>
          <w:rFonts w:cs="Arial"/>
          <w:szCs w:val="22"/>
          <w:lang w:eastAsia="en-GB" w:bidi="ar-SA"/>
        </w:rPr>
        <w:t xml:space="preserve"> available on the </w:t>
      </w:r>
      <w:hyperlink r:id="rId28" w:history="1">
        <w:r w:rsidRPr="00264B5B">
          <w:rPr>
            <w:rStyle w:val="Hyperlink"/>
            <w:rFonts w:cs="Arial"/>
            <w:szCs w:val="22"/>
            <w:lang w:eastAsia="en-GB" w:bidi="ar-SA"/>
          </w:rPr>
          <w:t>Genoscope</w:t>
        </w:r>
      </w:hyperlink>
      <w:r w:rsidRPr="00264B5B">
        <w:rPr>
          <w:rStyle w:val="FootnoteReference"/>
          <w:rFonts w:cs="Arial"/>
          <w:szCs w:val="22"/>
          <w:lang w:eastAsia="en-GB" w:bidi="ar-SA"/>
        </w:rPr>
        <w:footnoteReference w:id="10"/>
      </w:r>
      <w:r w:rsidRPr="00264B5B">
        <w:rPr>
          <w:rFonts w:cs="Arial"/>
          <w:szCs w:val="22"/>
          <w:lang w:eastAsia="en-GB" w:bidi="ar-SA"/>
        </w:rPr>
        <w:t xml:space="preserve"> website</w:t>
      </w:r>
      <w:r>
        <w:rPr>
          <w:rFonts w:cs="Arial"/>
          <w:szCs w:val="22"/>
          <w:lang w:eastAsia="en-GB" w:bidi="ar-SA"/>
        </w:rPr>
        <w:t xml:space="preserve">. </w:t>
      </w:r>
      <w:r w:rsidR="00012EF3">
        <w:rPr>
          <w:rFonts w:cs="Arial"/>
          <w:szCs w:val="22"/>
          <w:lang w:eastAsia="en-GB" w:bidi="ar-SA"/>
        </w:rPr>
        <w:t>The analysis indicated that the insert has gone into chromosome A03</w:t>
      </w:r>
      <w:r w:rsidR="00012EF3">
        <w:rPr>
          <w:rStyle w:val="FootnoteReference"/>
          <w:rFonts w:cs="Arial"/>
          <w:szCs w:val="22"/>
          <w:lang w:eastAsia="en-GB" w:bidi="ar-SA"/>
        </w:rPr>
        <w:footnoteReference w:id="11"/>
      </w:r>
      <w:r w:rsidR="00012EF3">
        <w:rPr>
          <w:rFonts w:cs="Arial"/>
          <w:szCs w:val="22"/>
          <w:lang w:eastAsia="en-GB" w:bidi="ar-SA"/>
        </w:rPr>
        <w:t>.</w:t>
      </w:r>
    </w:p>
    <w:p w14:paraId="07DDE5F9" w14:textId="77777777" w:rsidR="0033454E" w:rsidRPr="00AB1F10" w:rsidRDefault="0033454E" w:rsidP="0033454E">
      <w:pPr>
        <w:pStyle w:val="Heading3"/>
      </w:pPr>
      <w:r w:rsidRPr="00AB1F10">
        <w:t>3.4.4</w:t>
      </w:r>
      <w:r w:rsidRPr="00AB1F10">
        <w:tab/>
        <w:t>Open reading frame (ORF) analysis</w:t>
      </w:r>
    </w:p>
    <w:p w14:paraId="66CC3023" w14:textId="77777777" w:rsidR="0033454E" w:rsidRPr="00FF7100" w:rsidRDefault="0033454E" w:rsidP="0033454E">
      <w:pPr>
        <w:widowControl/>
        <w:autoSpaceDE w:val="0"/>
        <w:autoSpaceDN w:val="0"/>
        <w:adjustRightInd w:val="0"/>
        <w:rPr>
          <w:rFonts w:cs="Arial"/>
          <w:color w:val="000000" w:themeColor="text1"/>
          <w:szCs w:val="22"/>
        </w:rPr>
      </w:pPr>
      <w:r w:rsidRPr="00FF7100">
        <w:rPr>
          <w:rFonts w:cs="Arial"/>
          <w:color w:val="000000" w:themeColor="text1"/>
          <w:szCs w:val="22"/>
          <w:lang w:eastAsia="en-GB" w:bidi="ar-SA"/>
        </w:rPr>
        <w:t>The MS11</w:t>
      </w:r>
      <w:r w:rsidRPr="00FF7100">
        <w:rPr>
          <w:rFonts w:cs="Arial"/>
          <w:i/>
          <w:iCs/>
          <w:color w:val="000000" w:themeColor="text1"/>
          <w:szCs w:val="22"/>
          <w:lang w:eastAsia="en-GB" w:bidi="ar-SA"/>
        </w:rPr>
        <w:t xml:space="preserve"> </w:t>
      </w:r>
      <w:r w:rsidRPr="00FF7100">
        <w:rPr>
          <w:rFonts w:cs="Arial"/>
          <w:color w:val="000000" w:themeColor="text1"/>
          <w:szCs w:val="22"/>
          <w:lang w:eastAsia="en-GB" w:bidi="ar-SA"/>
        </w:rPr>
        <w:t>transgenic locus, containing the inserted DNA together with the additional 5’ and 3’ flanking sequences was used as query sequence.</w:t>
      </w:r>
      <w:r w:rsidRPr="00FF7100">
        <w:rPr>
          <w:rFonts w:cs="Arial"/>
          <w:color w:val="000000" w:themeColor="text1"/>
          <w:szCs w:val="22"/>
        </w:rPr>
        <w:t xml:space="preserve"> </w:t>
      </w:r>
      <w:r w:rsidRPr="00012FE6">
        <w:rPr>
          <w:rFonts w:cs="Arial"/>
          <w:color w:val="000000" w:themeColor="text1"/>
          <w:szCs w:val="22"/>
          <w:lang w:eastAsia="en-GB" w:bidi="ar-SA"/>
        </w:rPr>
        <w:t>An ORF was</w:t>
      </w:r>
      <w:r w:rsidRPr="00FF7100">
        <w:rPr>
          <w:rFonts w:cs="Arial"/>
          <w:color w:val="000000" w:themeColor="text1"/>
          <w:szCs w:val="22"/>
          <w:lang w:eastAsia="en-GB" w:bidi="ar-SA"/>
        </w:rPr>
        <w:t xml:space="preserve"> defined as the region between two translation stop codons (TAA, TAG, or TGA) with a minimum size coding for 3 amino acids.</w:t>
      </w:r>
      <w:r w:rsidRPr="00FF7100">
        <w:rPr>
          <w:rFonts w:cs="Arial"/>
          <w:color w:val="000000" w:themeColor="text1"/>
          <w:szCs w:val="22"/>
        </w:rPr>
        <w:t xml:space="preserve"> </w:t>
      </w:r>
      <w:r w:rsidRPr="00FF7100">
        <w:rPr>
          <w:rFonts w:cs="Arial"/>
          <w:color w:val="000000" w:themeColor="text1"/>
          <w:szCs w:val="22"/>
          <w:lang w:eastAsia="en-GB" w:bidi="ar-SA"/>
        </w:rPr>
        <w:t xml:space="preserve">The ORF search was performed using the GetORF search program from the </w:t>
      </w:r>
      <w:hyperlink r:id="rId29" w:history="1">
        <w:r w:rsidRPr="00773BED">
          <w:rPr>
            <w:rStyle w:val="Hyperlink"/>
            <w:rFonts w:cs="Arial"/>
            <w:szCs w:val="22"/>
            <w:lang w:eastAsia="en-GB" w:bidi="ar-SA"/>
          </w:rPr>
          <w:t>European Molecular Biology Open Software Suite</w:t>
        </w:r>
      </w:hyperlink>
      <w:r>
        <w:rPr>
          <w:rStyle w:val="FootnoteReference"/>
          <w:rFonts w:cs="Arial"/>
          <w:color w:val="000000" w:themeColor="text1"/>
          <w:szCs w:val="22"/>
          <w:lang w:eastAsia="en-GB" w:bidi="ar-SA"/>
        </w:rPr>
        <w:footnoteReference w:id="12"/>
      </w:r>
      <w:r w:rsidRPr="00FF7100">
        <w:rPr>
          <w:rFonts w:cs="Arial"/>
          <w:color w:val="000000" w:themeColor="text1"/>
          <w:szCs w:val="22"/>
          <w:lang w:eastAsia="en-GB" w:bidi="ar-SA"/>
        </w:rPr>
        <w:t xml:space="preserve"> (EMBOSS) tools (version 6.3.1, July 2010).</w:t>
      </w:r>
      <w:r w:rsidRPr="00FF7100">
        <w:rPr>
          <w:rFonts w:cs="Arial"/>
          <w:color w:val="000000" w:themeColor="text1"/>
          <w:szCs w:val="22"/>
        </w:rPr>
        <w:t xml:space="preserve"> </w:t>
      </w:r>
    </w:p>
    <w:p w14:paraId="425F8EC6" w14:textId="77777777" w:rsidR="0033454E" w:rsidRPr="00FF7100" w:rsidRDefault="0033454E" w:rsidP="0033454E">
      <w:pPr>
        <w:widowControl/>
        <w:autoSpaceDE w:val="0"/>
        <w:autoSpaceDN w:val="0"/>
        <w:adjustRightInd w:val="0"/>
        <w:rPr>
          <w:rFonts w:cs="Arial"/>
          <w:color w:val="000000" w:themeColor="text1"/>
          <w:szCs w:val="22"/>
        </w:rPr>
      </w:pPr>
    </w:p>
    <w:p w14:paraId="66F51686" w14:textId="77777777" w:rsidR="0033454E" w:rsidRPr="00FF7100" w:rsidRDefault="0033454E" w:rsidP="0033454E">
      <w:pPr>
        <w:widowControl/>
        <w:autoSpaceDE w:val="0"/>
        <w:autoSpaceDN w:val="0"/>
        <w:adjustRightInd w:val="0"/>
        <w:rPr>
          <w:rFonts w:cs="Arial"/>
          <w:color w:val="000000" w:themeColor="text1"/>
          <w:szCs w:val="22"/>
          <w:lang w:eastAsia="en-GB" w:bidi="ar-SA"/>
        </w:rPr>
      </w:pPr>
      <w:r w:rsidRPr="00FF7100">
        <w:rPr>
          <w:rFonts w:cs="Arial"/>
          <w:color w:val="000000" w:themeColor="text1"/>
          <w:szCs w:val="22"/>
        </w:rPr>
        <w:t xml:space="preserve">The search identified 554 ORFs (corresponding to 526 unique sequences). </w:t>
      </w:r>
      <w:r w:rsidRPr="00FF7100">
        <w:rPr>
          <w:rFonts w:cs="Arial"/>
          <w:color w:val="000000" w:themeColor="text1"/>
          <w:szCs w:val="22"/>
          <w:lang w:eastAsia="en-GB" w:bidi="ar-SA"/>
        </w:rPr>
        <w:t xml:space="preserve">After elimination of duplicates, translated amino acid sequences of at least 30 amino acids length represented 107 unique sequences; </w:t>
      </w:r>
      <w:r w:rsidRPr="00FF7100">
        <w:rPr>
          <w:rFonts w:cs="Arial"/>
          <w:color w:val="000000" w:themeColor="text1"/>
          <w:szCs w:val="22"/>
        </w:rPr>
        <w:t xml:space="preserve">ORFs shorter than 29 amino acids were not evaluated since a minimum 35% identity requires at least a match of 29 amino acids over 80 amino acids. The 35% identity is a recommended criterion for indicating potential allergenicity </w:t>
      </w:r>
      <w:r>
        <w:rPr>
          <w:rFonts w:cs="Arial"/>
          <w:noProof/>
          <w:color w:val="000000" w:themeColor="text1"/>
          <w:szCs w:val="22"/>
        </w:rPr>
        <w:t>(Codex 2009)</w:t>
      </w:r>
      <w:r w:rsidRPr="00FF7100">
        <w:rPr>
          <w:rFonts w:cs="Arial"/>
          <w:color w:val="000000" w:themeColor="text1"/>
          <w:szCs w:val="22"/>
        </w:rPr>
        <w:t xml:space="preserve">. These 107 putative polypeptides were analysed using a bioinformatics strategy to determine similarity to known protein toxins or allergens (refer </w:t>
      </w:r>
      <w:r w:rsidRPr="009534F8">
        <w:rPr>
          <w:rFonts w:cs="Arial"/>
          <w:color w:val="000000" w:themeColor="text1"/>
          <w:szCs w:val="22"/>
        </w:rPr>
        <w:t>to Section 4.1.6)</w:t>
      </w:r>
    </w:p>
    <w:p w14:paraId="636DEF4A" w14:textId="77777777" w:rsidR="0033454E" w:rsidRPr="00C81940" w:rsidRDefault="0033454E" w:rsidP="0033454E">
      <w:pPr>
        <w:pStyle w:val="Heading2"/>
        <w:rPr>
          <w:color w:val="000000" w:themeColor="text1"/>
        </w:rPr>
      </w:pPr>
      <w:bookmarkStart w:id="27" w:name="_Toc428288537"/>
      <w:bookmarkStart w:id="28" w:name="_Toc481491432"/>
      <w:r w:rsidRPr="00C81940">
        <w:rPr>
          <w:color w:val="000000" w:themeColor="text1"/>
        </w:rPr>
        <w:t>3.5</w:t>
      </w:r>
      <w:r w:rsidRPr="00C81940">
        <w:rPr>
          <w:color w:val="000000" w:themeColor="text1"/>
        </w:rPr>
        <w:tab/>
        <w:t xml:space="preserve">Stability of the genetic change in </w:t>
      </w:r>
      <w:bookmarkEnd w:id="27"/>
      <w:r w:rsidRPr="00C81940">
        <w:rPr>
          <w:color w:val="000000" w:themeColor="text1"/>
        </w:rPr>
        <w:t>MS11</w:t>
      </w:r>
      <w:bookmarkEnd w:id="28"/>
    </w:p>
    <w:p w14:paraId="0B81D735" w14:textId="77777777" w:rsidR="0033454E" w:rsidRPr="00DD4FED" w:rsidRDefault="0033454E" w:rsidP="0033454E">
      <w:pPr>
        <w:pStyle w:val="BodyText"/>
        <w:rPr>
          <w:rFonts w:cs="Arial"/>
          <w:bCs/>
          <w:color w:val="000000" w:themeColor="text1"/>
          <w:szCs w:val="22"/>
        </w:rPr>
      </w:pPr>
      <w:bookmarkStart w:id="29" w:name="_Toc428288538"/>
      <w:r w:rsidRPr="00C81940">
        <w:rPr>
          <w:rFonts w:cs="Arial"/>
          <w:bCs/>
          <w:color w:val="000000" w:themeColor="text1"/>
          <w:szCs w:val="22"/>
        </w:rPr>
        <w:t xml:space="preserve">The concept of stability encompasses both the genetic and phenotypic stability of the introduced trait over a number of generations. Genetic stability refers to maintenance of the modification (as produced in the initial transformation event) over successive generations. It is best assessed by molecular techniques, such as Southern blot analysis. Phenotypic stability refers to the expressed trait remaining unchanged over successive generations. It is often quantified by a trait inheritance analysis to determine Mendelian heritability via assay </w:t>
      </w:r>
      <w:r w:rsidRPr="00DD4FED">
        <w:rPr>
          <w:rFonts w:cs="Arial"/>
          <w:bCs/>
          <w:color w:val="000000" w:themeColor="text1"/>
          <w:szCs w:val="22"/>
        </w:rPr>
        <w:t>techniques (chemical, molecular, visual).</w:t>
      </w:r>
    </w:p>
    <w:p w14:paraId="0F29C042" w14:textId="77777777" w:rsidR="0033454E" w:rsidRPr="008231A7" w:rsidRDefault="0033454E" w:rsidP="0033454E">
      <w:pPr>
        <w:pStyle w:val="Heading3"/>
        <w:rPr>
          <w:i/>
        </w:rPr>
      </w:pPr>
      <w:r w:rsidRPr="008231A7">
        <w:t>3.5.1</w:t>
      </w:r>
      <w:r w:rsidRPr="008231A7">
        <w:tab/>
        <w:t>Genetic stability</w:t>
      </w:r>
    </w:p>
    <w:p w14:paraId="4FC159B3" w14:textId="77777777" w:rsidR="0033454E" w:rsidRPr="009534F8" w:rsidRDefault="0033454E" w:rsidP="0033454E">
      <w:pPr>
        <w:widowControl/>
        <w:autoSpaceDE w:val="0"/>
        <w:autoSpaceDN w:val="0"/>
        <w:adjustRightInd w:val="0"/>
        <w:rPr>
          <w:color w:val="000000" w:themeColor="text1"/>
        </w:rPr>
      </w:pPr>
      <w:r w:rsidRPr="008231A7">
        <w:rPr>
          <w:color w:val="000000" w:themeColor="text1"/>
        </w:rPr>
        <w:t xml:space="preserve">The genetic stability of event MS11 was evaluated by Southern blot analysis of genomic leaf DNA from verified plants from </w:t>
      </w:r>
      <w:r w:rsidRPr="00C9432D">
        <w:rPr>
          <w:rFonts w:cs="Arial"/>
          <w:color w:val="000000" w:themeColor="text1"/>
          <w:szCs w:val="22"/>
        </w:rPr>
        <w:t>generations T</w:t>
      </w:r>
      <w:r w:rsidRPr="00C9432D">
        <w:rPr>
          <w:rFonts w:cs="Arial"/>
          <w:color w:val="000000" w:themeColor="text1"/>
          <w:szCs w:val="22"/>
          <w:vertAlign w:val="subscript"/>
        </w:rPr>
        <w:t xml:space="preserve">2, </w:t>
      </w:r>
      <w:r w:rsidRPr="00C9432D">
        <w:rPr>
          <w:rFonts w:cs="Arial"/>
          <w:color w:val="000000" w:themeColor="text1"/>
          <w:szCs w:val="22"/>
        </w:rPr>
        <w:t>T</w:t>
      </w:r>
      <w:r w:rsidRPr="00C9432D">
        <w:rPr>
          <w:rFonts w:cs="Arial"/>
          <w:color w:val="000000" w:themeColor="text1"/>
          <w:szCs w:val="22"/>
          <w:vertAlign w:val="subscript"/>
        </w:rPr>
        <w:t xml:space="preserve">3, </w:t>
      </w:r>
      <w:r w:rsidRPr="00C9432D">
        <w:rPr>
          <w:rFonts w:cs="Arial"/>
          <w:color w:val="000000" w:themeColor="text1"/>
          <w:szCs w:val="22"/>
        </w:rPr>
        <w:t>F</w:t>
      </w:r>
      <w:r w:rsidRPr="00C9432D">
        <w:rPr>
          <w:rFonts w:cs="Arial"/>
          <w:color w:val="000000" w:themeColor="text1"/>
          <w:szCs w:val="22"/>
          <w:vertAlign w:val="subscript"/>
        </w:rPr>
        <w:t>1</w:t>
      </w:r>
      <w:r w:rsidRPr="00C9432D">
        <w:rPr>
          <w:rFonts w:cs="Arial"/>
          <w:color w:val="000000" w:themeColor="text1"/>
          <w:szCs w:val="22"/>
          <w:vertAlign w:val="superscript"/>
        </w:rPr>
        <w:t>*2</w:t>
      </w:r>
      <w:r w:rsidRPr="00C9432D">
        <w:rPr>
          <w:rFonts w:cs="Arial"/>
          <w:color w:val="000000" w:themeColor="text1"/>
          <w:szCs w:val="22"/>
        </w:rPr>
        <w:t>, BC</w:t>
      </w:r>
      <w:r w:rsidRPr="00C9432D">
        <w:rPr>
          <w:rFonts w:cs="Arial"/>
          <w:color w:val="000000" w:themeColor="text1"/>
          <w:szCs w:val="22"/>
          <w:vertAlign w:val="subscript"/>
        </w:rPr>
        <w:t>1</w:t>
      </w:r>
      <w:r w:rsidRPr="00C9432D">
        <w:rPr>
          <w:rFonts w:cs="Arial"/>
          <w:color w:val="000000" w:themeColor="text1"/>
          <w:szCs w:val="22"/>
          <w:vertAlign w:val="superscript"/>
        </w:rPr>
        <w:t>*2</w:t>
      </w:r>
      <w:r w:rsidRPr="00C9432D">
        <w:rPr>
          <w:rFonts w:cs="Arial"/>
          <w:color w:val="000000" w:themeColor="text1"/>
          <w:szCs w:val="22"/>
        </w:rPr>
        <w:t xml:space="preserve">, </w:t>
      </w:r>
      <w:r>
        <w:rPr>
          <w:rFonts w:cs="Arial"/>
          <w:color w:val="000000" w:themeColor="text1"/>
          <w:szCs w:val="22"/>
        </w:rPr>
        <w:t xml:space="preserve">and </w:t>
      </w:r>
      <w:r w:rsidRPr="00C9432D">
        <w:rPr>
          <w:rFonts w:cs="Arial"/>
          <w:color w:val="000000" w:themeColor="text1"/>
          <w:szCs w:val="22"/>
        </w:rPr>
        <w:t>BC</w:t>
      </w:r>
      <w:r w:rsidRPr="00C9432D">
        <w:rPr>
          <w:rFonts w:cs="Arial"/>
          <w:color w:val="000000" w:themeColor="text1"/>
          <w:szCs w:val="22"/>
          <w:vertAlign w:val="subscript"/>
        </w:rPr>
        <w:t>2</w:t>
      </w:r>
      <w:r w:rsidRPr="00C9432D">
        <w:rPr>
          <w:rFonts w:cs="Arial"/>
          <w:color w:val="000000" w:themeColor="text1"/>
          <w:szCs w:val="22"/>
          <w:vertAlign w:val="superscript"/>
        </w:rPr>
        <w:t>*2</w:t>
      </w:r>
      <w:r w:rsidRPr="00C9432D">
        <w:rPr>
          <w:rFonts w:cs="Arial"/>
          <w:color w:val="000000" w:themeColor="text1"/>
          <w:szCs w:val="22"/>
        </w:rPr>
        <w:t xml:space="preserve"> (</w:t>
      </w:r>
      <w:r w:rsidRPr="009534F8">
        <w:rPr>
          <w:rFonts w:cs="Arial"/>
          <w:color w:val="000000" w:themeColor="text1"/>
          <w:szCs w:val="22"/>
        </w:rPr>
        <w:t xml:space="preserve">see Figure 3). </w:t>
      </w:r>
      <w:r w:rsidRPr="009534F8">
        <w:rPr>
          <w:rFonts w:cs="Arial"/>
          <w:color w:val="000000" w:themeColor="text1"/>
          <w:szCs w:val="22"/>
          <w:lang w:eastAsia="en-GB" w:bidi="ar-SA"/>
        </w:rPr>
        <w:t>Restriction</w:t>
      </w:r>
      <w:r w:rsidRPr="009534F8">
        <w:rPr>
          <w:rFonts w:ascii="CharterBT-Roman" w:hAnsi="CharterBT-Roman" w:cs="CharterBT-Roman"/>
          <w:color w:val="000000" w:themeColor="text1"/>
          <w:szCs w:val="22"/>
          <w:lang w:eastAsia="en-GB" w:bidi="ar-SA"/>
        </w:rPr>
        <w:t xml:space="preserve"> enzyme digestion, with</w:t>
      </w:r>
      <w:r w:rsidRPr="009534F8">
        <w:rPr>
          <w:rFonts w:ascii="CharterBT-Italic" w:hAnsi="CharterBT-Italic" w:cs="CharterBT-Italic"/>
          <w:i/>
          <w:iCs/>
          <w:color w:val="000000" w:themeColor="text1"/>
          <w:szCs w:val="22"/>
          <w:lang w:eastAsia="en-GB" w:bidi="ar-SA"/>
        </w:rPr>
        <w:t xml:space="preserve"> Eco</w:t>
      </w:r>
      <w:r w:rsidRPr="009534F8">
        <w:rPr>
          <w:rFonts w:ascii="CharterBT-Italic" w:hAnsi="CharterBT-Italic" w:cs="CharterBT-Italic"/>
          <w:iCs/>
          <w:color w:val="000000" w:themeColor="text1"/>
          <w:szCs w:val="22"/>
          <w:lang w:eastAsia="en-GB" w:bidi="ar-SA"/>
        </w:rPr>
        <w:t>RV,</w:t>
      </w:r>
      <w:r w:rsidRPr="009534F8">
        <w:rPr>
          <w:rFonts w:ascii="CharterBT-Italic" w:hAnsi="CharterBT-Italic" w:cs="CharterBT-Italic"/>
          <w:i/>
          <w:iCs/>
          <w:color w:val="000000" w:themeColor="text1"/>
          <w:szCs w:val="22"/>
          <w:lang w:eastAsia="en-GB" w:bidi="ar-SA"/>
        </w:rPr>
        <w:t xml:space="preserve"> </w:t>
      </w:r>
      <w:r w:rsidRPr="009534F8">
        <w:rPr>
          <w:rFonts w:ascii="CharterBT-Roman" w:hAnsi="CharterBT-Roman" w:cs="CharterBT-Roman"/>
          <w:color w:val="000000" w:themeColor="text1"/>
          <w:szCs w:val="22"/>
          <w:lang w:eastAsia="en-GB" w:bidi="ar-SA"/>
        </w:rPr>
        <w:t xml:space="preserve">of samples from each generation were separated by agarose gel electrophoresis and blots were probed with the same DIG-labelled probe, specific to the whole T-DNA, as used in the plasmid backbone analysis (Section 3.4.1.2). </w:t>
      </w:r>
      <w:r w:rsidRPr="009534F8">
        <w:rPr>
          <w:color w:val="000000" w:themeColor="text1"/>
        </w:rPr>
        <w:t xml:space="preserve">). A negative control of DNA from non-GM N90-740 digested with </w:t>
      </w:r>
      <w:r w:rsidRPr="009534F8">
        <w:rPr>
          <w:i/>
          <w:color w:val="000000" w:themeColor="text1"/>
        </w:rPr>
        <w:t>Eco</w:t>
      </w:r>
      <w:r w:rsidRPr="009534F8">
        <w:rPr>
          <w:color w:val="000000" w:themeColor="text1"/>
        </w:rPr>
        <w:t xml:space="preserve">RV and a positive control of non-GM N90-740 digested with </w:t>
      </w:r>
      <w:r w:rsidRPr="009534F8">
        <w:rPr>
          <w:i/>
          <w:color w:val="000000" w:themeColor="text1"/>
        </w:rPr>
        <w:t>Eco</w:t>
      </w:r>
      <w:r w:rsidRPr="009534F8">
        <w:rPr>
          <w:color w:val="000000" w:themeColor="text1"/>
        </w:rPr>
        <w:t xml:space="preserve">R1 spiked with equimolar pTCO113 digested with </w:t>
      </w:r>
      <w:r w:rsidRPr="009534F8">
        <w:rPr>
          <w:i/>
          <w:color w:val="000000" w:themeColor="text1"/>
        </w:rPr>
        <w:t>Eco</w:t>
      </w:r>
      <w:r w:rsidRPr="009534F8">
        <w:rPr>
          <w:color w:val="000000" w:themeColor="text1"/>
        </w:rPr>
        <w:t xml:space="preserve">R1 were also included. </w:t>
      </w:r>
    </w:p>
    <w:p w14:paraId="479B0AEF" w14:textId="77777777" w:rsidR="0033454E" w:rsidRPr="009534F8" w:rsidRDefault="0033454E" w:rsidP="0033454E">
      <w:pPr>
        <w:widowControl/>
        <w:autoSpaceDE w:val="0"/>
        <w:autoSpaceDN w:val="0"/>
        <w:adjustRightInd w:val="0"/>
        <w:rPr>
          <w:color w:val="000000" w:themeColor="text1"/>
        </w:rPr>
      </w:pPr>
    </w:p>
    <w:p w14:paraId="21FF43AD" w14:textId="01010AE0" w:rsidR="0093373F"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9534F8">
        <w:rPr>
          <w:rFonts w:ascii="CharterBT-Roman" w:hAnsi="CharterBT-Roman" w:cs="CharterBT-Roman"/>
          <w:color w:val="000000" w:themeColor="text1"/>
          <w:szCs w:val="22"/>
          <w:lang w:eastAsia="en-GB" w:bidi="ar-SA"/>
        </w:rPr>
        <w:t>No hybridising bands were obtained for the negative control; the expected bands were obtained for the positive control (same sizes as obtained in all of the positive control Southern blots reported in Section 3.4.1.1). The same two hybridising fragments (same sizes as those obtained for the backbone analysis) were detected across all MS11 samples from the five generations thereby confirming stable integration of the inserted DNA in MS11.</w:t>
      </w:r>
      <w:r w:rsidR="0093373F">
        <w:rPr>
          <w:rFonts w:ascii="CharterBT-Roman" w:hAnsi="CharterBT-Roman" w:cs="CharterBT-Roman"/>
          <w:color w:val="000000" w:themeColor="text1"/>
          <w:szCs w:val="22"/>
          <w:lang w:eastAsia="en-GB" w:bidi="ar-SA"/>
        </w:rPr>
        <w:br w:type="page"/>
      </w:r>
    </w:p>
    <w:p w14:paraId="58D3F6F3" w14:textId="77777777" w:rsidR="0033454E" w:rsidRPr="009534F8" w:rsidRDefault="0033454E" w:rsidP="0033454E">
      <w:pPr>
        <w:pStyle w:val="Heading3"/>
        <w:rPr>
          <w:i/>
        </w:rPr>
      </w:pPr>
      <w:r w:rsidRPr="009534F8">
        <w:lastRenderedPageBreak/>
        <w:t>3.5.2</w:t>
      </w:r>
      <w:r w:rsidRPr="009534F8">
        <w:tab/>
        <w:t>Phenotypic stability</w:t>
      </w:r>
    </w:p>
    <w:p w14:paraId="56B59D78" w14:textId="77777777" w:rsidR="0033454E" w:rsidRPr="009534F8" w:rsidRDefault="0033454E" w:rsidP="0033454E">
      <w:pPr>
        <w:widowControl/>
        <w:autoSpaceDE w:val="0"/>
        <w:autoSpaceDN w:val="0"/>
        <w:adjustRightInd w:val="0"/>
        <w:rPr>
          <w:rFonts w:cs="Arial"/>
          <w:color w:val="000000" w:themeColor="text1"/>
          <w:szCs w:val="22"/>
          <w:lang w:eastAsia="en-GB" w:bidi="ar-SA"/>
        </w:rPr>
      </w:pPr>
      <w:r w:rsidRPr="009534F8">
        <w:rPr>
          <w:rFonts w:cs="Arial"/>
          <w:color w:val="000000" w:themeColor="text1"/>
          <w:szCs w:val="22"/>
        </w:rPr>
        <w:t>Using PCR analysis, genomic DNA from leaf samples of MS11 generations T</w:t>
      </w:r>
      <w:r w:rsidRPr="009534F8">
        <w:rPr>
          <w:rFonts w:cs="Arial"/>
          <w:color w:val="000000" w:themeColor="text1"/>
          <w:szCs w:val="22"/>
          <w:vertAlign w:val="subscript"/>
        </w:rPr>
        <w:t>3</w:t>
      </w:r>
      <w:r w:rsidRPr="009534F8">
        <w:rPr>
          <w:rFonts w:cs="Arial"/>
          <w:color w:val="000000" w:themeColor="text1"/>
          <w:szCs w:val="22"/>
        </w:rPr>
        <w:t>, T</w:t>
      </w:r>
      <w:r w:rsidRPr="009534F8">
        <w:rPr>
          <w:rFonts w:cs="Arial"/>
          <w:color w:val="000000" w:themeColor="text1"/>
          <w:szCs w:val="22"/>
          <w:vertAlign w:val="subscript"/>
        </w:rPr>
        <w:t>4</w:t>
      </w:r>
      <w:r w:rsidRPr="009534F8">
        <w:rPr>
          <w:rFonts w:cs="Arial"/>
          <w:color w:val="000000" w:themeColor="text1"/>
          <w:szCs w:val="22"/>
        </w:rPr>
        <w:t>, T</w:t>
      </w:r>
      <w:r w:rsidRPr="009534F8">
        <w:rPr>
          <w:rFonts w:cs="Arial"/>
          <w:color w:val="000000" w:themeColor="text1"/>
          <w:szCs w:val="22"/>
          <w:vertAlign w:val="subscript"/>
        </w:rPr>
        <w:t>5</w:t>
      </w:r>
      <w:r w:rsidRPr="009534F8">
        <w:rPr>
          <w:rFonts w:cs="Arial"/>
          <w:color w:val="000000" w:themeColor="text1"/>
          <w:szCs w:val="22"/>
        </w:rPr>
        <w:t xml:space="preserve"> BC</w:t>
      </w:r>
      <w:r w:rsidRPr="009534F8">
        <w:rPr>
          <w:rFonts w:cs="Arial"/>
          <w:color w:val="000000" w:themeColor="text1"/>
          <w:szCs w:val="22"/>
          <w:vertAlign w:val="subscript"/>
        </w:rPr>
        <w:t>4</w:t>
      </w:r>
      <w:r w:rsidRPr="009534F8">
        <w:rPr>
          <w:rFonts w:cs="Arial"/>
          <w:color w:val="000000" w:themeColor="text1"/>
          <w:szCs w:val="22"/>
          <w:vertAlign w:val="superscript"/>
        </w:rPr>
        <w:t>*1</w:t>
      </w:r>
      <w:r w:rsidRPr="009534F8">
        <w:rPr>
          <w:rFonts w:cs="Arial"/>
          <w:color w:val="000000" w:themeColor="text1"/>
          <w:szCs w:val="22"/>
        </w:rPr>
        <w:t>, and BC</w:t>
      </w:r>
      <w:r w:rsidRPr="009534F8">
        <w:rPr>
          <w:rFonts w:cs="Arial"/>
          <w:color w:val="000000" w:themeColor="text1"/>
          <w:szCs w:val="22"/>
          <w:vertAlign w:val="subscript"/>
        </w:rPr>
        <w:t>5</w:t>
      </w:r>
      <w:r w:rsidRPr="009534F8">
        <w:rPr>
          <w:rFonts w:cs="Arial"/>
          <w:color w:val="000000" w:themeColor="text1"/>
          <w:szCs w:val="22"/>
          <w:vertAlign w:val="superscript"/>
        </w:rPr>
        <w:t>*1</w:t>
      </w:r>
      <w:r w:rsidRPr="009534F8">
        <w:rPr>
          <w:rFonts w:cs="Arial"/>
          <w:color w:val="000000" w:themeColor="text1"/>
          <w:szCs w:val="22"/>
        </w:rPr>
        <w:t xml:space="preserve"> was tested for the absence or presence of the insert. </w:t>
      </w:r>
      <w:r w:rsidRPr="009534F8">
        <w:rPr>
          <w:rFonts w:cs="Arial"/>
          <w:color w:val="000000" w:themeColor="text1"/>
          <w:szCs w:val="22"/>
          <w:lang w:eastAsia="en-GB" w:bidi="ar-SA"/>
        </w:rPr>
        <w:t>According to Mendelian inheritance principles, MS11 with a single insert would be predicted to segregate at a 1:1 (positive:negative) ratio for progeny derived from non-GM and hemizygous parental plants.</w:t>
      </w:r>
    </w:p>
    <w:p w14:paraId="1066F297" w14:textId="77777777" w:rsidR="0033454E" w:rsidRPr="009534F8" w:rsidRDefault="0033454E" w:rsidP="0033454E">
      <w:pPr>
        <w:rPr>
          <w:rFonts w:cs="Arial"/>
          <w:color w:val="000000" w:themeColor="text1"/>
          <w:szCs w:val="22"/>
        </w:rPr>
      </w:pPr>
    </w:p>
    <w:p w14:paraId="58755735" w14:textId="77777777" w:rsidR="0033454E" w:rsidRPr="009534F8" w:rsidRDefault="0033454E" w:rsidP="0033454E">
      <w:pPr>
        <w:widowControl/>
        <w:autoSpaceDE w:val="0"/>
        <w:autoSpaceDN w:val="0"/>
        <w:adjustRightInd w:val="0"/>
        <w:rPr>
          <w:rFonts w:ascii="FiraSans-Book" w:hAnsi="FiraSans-Book" w:cs="FiraSans-Book"/>
          <w:color w:val="000000" w:themeColor="text1"/>
          <w:szCs w:val="22"/>
          <w:lang w:eastAsia="en-GB" w:bidi="ar-SA"/>
        </w:rPr>
      </w:pPr>
      <w:r w:rsidRPr="009534F8">
        <w:rPr>
          <w:rFonts w:ascii="CharterBT-Roman" w:hAnsi="CharterBT-Roman" w:cs="CharterBT-Roman"/>
          <w:color w:val="000000" w:themeColor="text1"/>
          <w:szCs w:val="22"/>
          <w:lang w:eastAsia="en-GB" w:bidi="ar-SA"/>
        </w:rPr>
        <w:t xml:space="preserve">Two types of PCR analysis were employed – a) event-specific analysis to determine the presence/absence of the insert and b) gene-specific analysis to determine the presence/absence of the </w:t>
      </w:r>
      <w:r w:rsidRPr="009534F8">
        <w:rPr>
          <w:rFonts w:ascii="CharterBT-Roman" w:hAnsi="CharterBT-Roman" w:cs="CharterBT-Roman"/>
          <w:i/>
          <w:color w:val="000000" w:themeColor="text1"/>
          <w:szCs w:val="22"/>
          <w:lang w:eastAsia="en-GB" w:bidi="ar-SA"/>
        </w:rPr>
        <w:t>bar</w:t>
      </w:r>
      <w:r w:rsidRPr="009534F8">
        <w:rPr>
          <w:rFonts w:ascii="CharterBT-Roman" w:hAnsi="CharterBT-Roman" w:cs="CharterBT-Roman"/>
          <w:color w:val="000000" w:themeColor="text1"/>
          <w:szCs w:val="22"/>
          <w:lang w:eastAsia="en-GB" w:bidi="ar-SA"/>
        </w:rPr>
        <w:t xml:space="preserve">, </w:t>
      </w:r>
      <w:r w:rsidRPr="009534F8">
        <w:rPr>
          <w:rFonts w:ascii="CharterBT-Roman" w:hAnsi="CharterBT-Roman" w:cs="CharterBT-Roman"/>
          <w:i/>
          <w:color w:val="000000" w:themeColor="text1"/>
          <w:szCs w:val="22"/>
          <w:lang w:eastAsia="en-GB" w:bidi="ar-SA"/>
        </w:rPr>
        <w:t>barnase</w:t>
      </w:r>
      <w:r w:rsidRPr="009534F8">
        <w:rPr>
          <w:rFonts w:ascii="CharterBT-Roman" w:hAnsi="CharterBT-Roman" w:cs="CharterBT-Roman"/>
          <w:color w:val="000000" w:themeColor="text1"/>
          <w:szCs w:val="22"/>
          <w:lang w:eastAsia="en-GB" w:bidi="ar-SA"/>
        </w:rPr>
        <w:t xml:space="preserve"> and </w:t>
      </w:r>
      <w:r w:rsidRPr="009534F8">
        <w:rPr>
          <w:rFonts w:ascii="CharterBT-Roman" w:hAnsi="CharterBT-Roman" w:cs="CharterBT-Roman"/>
          <w:i/>
          <w:color w:val="000000" w:themeColor="text1"/>
          <w:szCs w:val="22"/>
          <w:lang w:eastAsia="en-GB" w:bidi="ar-SA"/>
        </w:rPr>
        <w:t>barstar</w:t>
      </w:r>
      <w:r w:rsidRPr="009534F8">
        <w:rPr>
          <w:rFonts w:ascii="CharterBT-Roman" w:hAnsi="CharterBT-Roman" w:cs="CharterBT-Roman"/>
          <w:color w:val="000000" w:themeColor="text1"/>
          <w:szCs w:val="22"/>
          <w:lang w:eastAsia="en-GB" w:bidi="ar-SA"/>
        </w:rPr>
        <w:t xml:space="preserve"> genes. </w:t>
      </w:r>
    </w:p>
    <w:p w14:paraId="289F699E" w14:textId="77777777" w:rsidR="0033454E" w:rsidRPr="009534F8" w:rsidRDefault="0033454E" w:rsidP="0033454E">
      <w:pPr>
        <w:rPr>
          <w:color w:val="000000" w:themeColor="text1"/>
          <w:szCs w:val="22"/>
        </w:rPr>
      </w:pPr>
    </w:p>
    <w:p w14:paraId="06A39251" w14:textId="77777777" w:rsidR="0033454E" w:rsidRPr="006B6761" w:rsidRDefault="0033454E" w:rsidP="0033454E">
      <w:pPr>
        <w:widowControl/>
        <w:autoSpaceDE w:val="0"/>
        <w:autoSpaceDN w:val="0"/>
        <w:adjustRightInd w:val="0"/>
        <w:rPr>
          <w:rFonts w:ascii="ArialMT" w:hAnsi="ArialMT" w:cs="ArialMT"/>
          <w:color w:val="000000" w:themeColor="text1"/>
          <w:sz w:val="21"/>
          <w:szCs w:val="21"/>
          <w:lang w:eastAsia="en-GB" w:bidi="ar-SA"/>
        </w:rPr>
      </w:pPr>
      <w:r w:rsidRPr="009534F8">
        <w:rPr>
          <w:color w:val="000000" w:themeColor="text1"/>
          <w:szCs w:val="22"/>
        </w:rPr>
        <w:t>The results of presence/absence of the insert are shown in Table 3. The chi-square (</w:t>
      </w:r>
      <w:r w:rsidRPr="009534F8">
        <w:rPr>
          <w:rFonts w:cs="Arial"/>
          <w:color w:val="000000" w:themeColor="text1"/>
          <w:szCs w:val="22"/>
          <w:lang w:eastAsia="en-GB"/>
        </w:rPr>
        <w:t>Χ</w:t>
      </w:r>
      <w:r w:rsidRPr="009534F8">
        <w:rPr>
          <w:rFonts w:cs="Arial"/>
          <w:color w:val="000000" w:themeColor="text1"/>
          <w:szCs w:val="22"/>
          <w:vertAlign w:val="superscript"/>
          <w:lang w:eastAsia="en-GB"/>
        </w:rPr>
        <w:t>2</w:t>
      </w:r>
      <w:r w:rsidRPr="009534F8">
        <w:rPr>
          <w:rFonts w:cs="Arial"/>
          <w:color w:val="000000" w:themeColor="text1"/>
          <w:szCs w:val="22"/>
          <w:lang w:eastAsia="en-GB"/>
        </w:rPr>
        <w:t xml:space="preserve">) </w:t>
      </w:r>
      <w:r w:rsidRPr="009534F8">
        <w:rPr>
          <w:color w:val="000000" w:themeColor="text1"/>
          <w:szCs w:val="22"/>
        </w:rPr>
        <w:t xml:space="preserve">critical value at significance level </w:t>
      </w:r>
      <w:r w:rsidRPr="009534F8">
        <w:rPr>
          <w:rFonts w:cs="Arial"/>
          <w:color w:val="000000" w:themeColor="text1"/>
          <w:szCs w:val="22"/>
        </w:rPr>
        <w:t>α</w:t>
      </w:r>
      <w:r w:rsidRPr="009534F8">
        <w:rPr>
          <w:color w:val="000000" w:themeColor="text1"/>
          <w:szCs w:val="22"/>
        </w:rPr>
        <w:t xml:space="preserve"> = 0.05 is 3.84 i.e. if the </w:t>
      </w:r>
      <w:r w:rsidRPr="009534F8">
        <w:rPr>
          <w:rFonts w:cs="Arial"/>
          <w:color w:val="000000" w:themeColor="text1"/>
          <w:szCs w:val="22"/>
          <w:lang w:eastAsia="en-GB"/>
        </w:rPr>
        <w:t>Χ</w:t>
      </w:r>
      <w:r w:rsidRPr="009534F8">
        <w:rPr>
          <w:rFonts w:cs="Arial"/>
          <w:color w:val="000000" w:themeColor="text1"/>
          <w:szCs w:val="22"/>
          <w:vertAlign w:val="superscript"/>
          <w:lang w:eastAsia="en-GB"/>
        </w:rPr>
        <w:t>2</w:t>
      </w:r>
      <w:r w:rsidRPr="009534F8">
        <w:rPr>
          <w:rFonts w:cs="Arial"/>
          <w:color w:val="000000" w:themeColor="text1"/>
          <w:szCs w:val="22"/>
          <w:lang w:eastAsia="en-GB"/>
        </w:rPr>
        <w:t xml:space="preserve"> value is ˂ 3</w:t>
      </w:r>
      <w:r w:rsidRPr="006B6761">
        <w:rPr>
          <w:rFonts w:cs="Arial"/>
          <w:color w:val="000000" w:themeColor="text1"/>
          <w:szCs w:val="22"/>
          <w:lang w:eastAsia="en-GB"/>
        </w:rPr>
        <w:t>.84 the observed ratio is not significantly different from the expected ratio. The Χ</w:t>
      </w:r>
      <w:r w:rsidRPr="006B6761">
        <w:rPr>
          <w:rFonts w:cs="Arial"/>
          <w:color w:val="000000" w:themeColor="text1"/>
          <w:szCs w:val="22"/>
          <w:vertAlign w:val="superscript"/>
          <w:lang w:eastAsia="en-GB"/>
        </w:rPr>
        <w:t xml:space="preserve">2 </w:t>
      </w:r>
      <w:r w:rsidRPr="006B6761">
        <w:rPr>
          <w:rFonts w:cs="Arial"/>
          <w:color w:val="000000" w:themeColor="text1"/>
          <w:szCs w:val="22"/>
          <w:lang w:eastAsia="en-GB"/>
        </w:rPr>
        <w:t xml:space="preserve">values for all generations were less than 3.84 thereby indicating that the insert in each genetic background was inherited according to Mendelian principles </w:t>
      </w:r>
      <w:r w:rsidRPr="006B6761">
        <w:rPr>
          <w:rFonts w:ascii="ArialMT" w:hAnsi="ArialMT" w:cs="ArialMT"/>
          <w:color w:val="000000" w:themeColor="text1"/>
          <w:sz w:val="21"/>
          <w:szCs w:val="21"/>
          <w:lang w:eastAsia="en-GB" w:bidi="ar-SA"/>
        </w:rPr>
        <w:t>and support</w:t>
      </w:r>
      <w:r>
        <w:rPr>
          <w:rFonts w:ascii="ArialMT" w:hAnsi="ArialMT" w:cs="ArialMT"/>
          <w:color w:val="000000" w:themeColor="text1"/>
          <w:sz w:val="21"/>
          <w:szCs w:val="21"/>
          <w:lang w:eastAsia="en-GB" w:bidi="ar-SA"/>
        </w:rPr>
        <w:t>ing the conclusion</w:t>
      </w:r>
      <w:r w:rsidRPr="006B6761">
        <w:rPr>
          <w:rFonts w:ascii="ArialMT" w:hAnsi="ArialMT" w:cs="ArialMT"/>
          <w:color w:val="000000" w:themeColor="text1"/>
          <w:sz w:val="21"/>
          <w:szCs w:val="21"/>
          <w:lang w:eastAsia="en-GB" w:bidi="ar-SA"/>
        </w:rPr>
        <w:t xml:space="preserve"> the</w:t>
      </w:r>
    </w:p>
    <w:p w14:paraId="4C30DE94" w14:textId="77777777" w:rsidR="0033454E" w:rsidRPr="006B6761" w:rsidRDefault="0033454E" w:rsidP="0033454E">
      <w:pPr>
        <w:widowControl/>
        <w:autoSpaceDE w:val="0"/>
        <w:autoSpaceDN w:val="0"/>
        <w:adjustRightInd w:val="0"/>
        <w:rPr>
          <w:rFonts w:ascii="ArialMT" w:hAnsi="ArialMT" w:cs="ArialMT"/>
          <w:color w:val="000000" w:themeColor="text1"/>
          <w:sz w:val="21"/>
          <w:szCs w:val="21"/>
          <w:lang w:eastAsia="en-GB" w:bidi="ar-SA"/>
        </w:rPr>
      </w:pPr>
      <w:r w:rsidRPr="006B6761">
        <w:rPr>
          <w:rFonts w:ascii="ArialMT" w:hAnsi="ArialMT" w:cs="ArialMT"/>
          <w:color w:val="000000" w:themeColor="text1"/>
          <w:sz w:val="21"/>
          <w:szCs w:val="21"/>
          <w:lang w:eastAsia="en-GB" w:bidi="ar-SA"/>
        </w:rPr>
        <w:t>MS11 event consists of a single insert integrated at a single chromosomal locus within the</w:t>
      </w:r>
    </w:p>
    <w:p w14:paraId="09D7B39A" w14:textId="77777777" w:rsidR="0033454E" w:rsidRPr="006B6761" w:rsidRDefault="0033454E" w:rsidP="0033454E">
      <w:pPr>
        <w:rPr>
          <w:color w:val="000000" w:themeColor="text1"/>
          <w:szCs w:val="22"/>
        </w:rPr>
      </w:pPr>
      <w:r w:rsidRPr="006B6761">
        <w:rPr>
          <w:rFonts w:ascii="Arial-ItalicMT" w:hAnsi="Arial-ItalicMT" w:cs="Arial-ItalicMT"/>
          <w:i/>
          <w:iCs/>
          <w:color w:val="000000" w:themeColor="text1"/>
          <w:sz w:val="21"/>
          <w:szCs w:val="21"/>
          <w:lang w:eastAsia="en-GB" w:bidi="ar-SA"/>
        </w:rPr>
        <w:t xml:space="preserve">B. napus </w:t>
      </w:r>
      <w:r w:rsidRPr="006B6761">
        <w:rPr>
          <w:rFonts w:ascii="ArialMT" w:hAnsi="ArialMT" w:cs="ArialMT"/>
          <w:color w:val="000000" w:themeColor="text1"/>
          <w:sz w:val="21"/>
          <w:szCs w:val="21"/>
          <w:lang w:eastAsia="en-GB" w:bidi="ar-SA"/>
        </w:rPr>
        <w:t>nuclear genome.</w:t>
      </w:r>
    </w:p>
    <w:p w14:paraId="3311DAA3" w14:textId="77777777" w:rsidR="0033454E" w:rsidRPr="006B6761" w:rsidRDefault="0033454E" w:rsidP="0033454E">
      <w:pPr>
        <w:rPr>
          <w:color w:val="000000" w:themeColor="text1"/>
        </w:rPr>
      </w:pPr>
    </w:p>
    <w:p w14:paraId="699EC7D9" w14:textId="77777777" w:rsidR="0033454E" w:rsidRPr="00C63B93" w:rsidRDefault="0033454E" w:rsidP="00AD4317">
      <w:bookmarkStart w:id="30" w:name="_Toc481574638"/>
      <w:r w:rsidRPr="00AD4317">
        <w:rPr>
          <w:b/>
        </w:rPr>
        <w:t xml:space="preserve">Table </w:t>
      </w:r>
      <w:r w:rsidRPr="00AD4317">
        <w:rPr>
          <w:b/>
        </w:rPr>
        <w:fldChar w:fldCharType="begin"/>
      </w:r>
      <w:r w:rsidRPr="00AD4317">
        <w:rPr>
          <w:b/>
        </w:rPr>
        <w:instrText xml:space="preserve"> SEQ Table \* ARABIC </w:instrText>
      </w:r>
      <w:r w:rsidRPr="00AD4317">
        <w:rPr>
          <w:b/>
        </w:rPr>
        <w:fldChar w:fldCharType="separate"/>
      </w:r>
      <w:r w:rsidR="007D76F3" w:rsidRPr="00AD4317">
        <w:rPr>
          <w:b/>
          <w:noProof/>
        </w:rPr>
        <w:t>3</w:t>
      </w:r>
      <w:r w:rsidRPr="00AD4317">
        <w:rPr>
          <w:b/>
        </w:rPr>
        <w:fldChar w:fldCharType="end"/>
      </w:r>
      <w:r w:rsidRPr="00AD4317">
        <w:rPr>
          <w:b/>
        </w:rPr>
        <w:t>: Segregation of the T-DNA insert in MS11 over five generations</w:t>
      </w:r>
      <w:bookmarkEnd w:id="30"/>
    </w:p>
    <w:p w14:paraId="0B65B4C4" w14:textId="77777777" w:rsidR="0033454E" w:rsidRPr="00E96315" w:rsidRDefault="0033454E" w:rsidP="0033454E">
      <w:pPr>
        <w:rPr>
          <w:lang w:val="en-A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003"/>
        <w:gridCol w:w="1388"/>
        <w:gridCol w:w="1299"/>
        <w:gridCol w:w="972"/>
        <w:gridCol w:w="1484"/>
      </w:tblGrid>
      <w:tr w:rsidR="0033454E" w:rsidRPr="001B5342" w14:paraId="40F770E7" w14:textId="77777777" w:rsidTr="0033454E">
        <w:trPr>
          <w:trHeight w:val="397"/>
          <w:jc w:val="center"/>
        </w:trPr>
        <w:tc>
          <w:tcPr>
            <w:tcW w:w="2495" w:type="dxa"/>
            <w:vMerge w:val="restart"/>
            <w:shd w:val="clear" w:color="auto" w:fill="9BBB59" w:themeFill="accent3"/>
            <w:vAlign w:val="center"/>
          </w:tcPr>
          <w:p w14:paraId="57D46A04" w14:textId="77777777" w:rsidR="0033454E" w:rsidRPr="008F1A1D" w:rsidRDefault="0033454E" w:rsidP="0033454E">
            <w:pPr>
              <w:autoSpaceDE w:val="0"/>
              <w:autoSpaceDN w:val="0"/>
              <w:adjustRightInd w:val="0"/>
              <w:jc w:val="center"/>
              <w:rPr>
                <w:rFonts w:cs="Arial"/>
                <w:b/>
                <w:color w:val="FFFFFF" w:themeColor="background1"/>
                <w:sz w:val="20"/>
                <w:szCs w:val="20"/>
                <w:lang w:eastAsia="en-GB"/>
              </w:rPr>
            </w:pPr>
            <w:r w:rsidRPr="008F1A1D">
              <w:rPr>
                <w:rFonts w:cs="Arial"/>
                <w:b/>
                <w:color w:val="FFFFFF" w:themeColor="background1"/>
                <w:sz w:val="20"/>
                <w:szCs w:val="20"/>
                <w:lang w:eastAsia="en-GB"/>
              </w:rPr>
              <w:t>Generation/Background</w:t>
            </w:r>
          </w:p>
        </w:tc>
        <w:tc>
          <w:tcPr>
            <w:tcW w:w="1003" w:type="dxa"/>
            <w:vMerge w:val="restart"/>
            <w:shd w:val="clear" w:color="auto" w:fill="9BBB59" w:themeFill="accent3"/>
            <w:vAlign w:val="center"/>
          </w:tcPr>
          <w:p w14:paraId="0AF3F8BE" w14:textId="77777777" w:rsidR="0033454E" w:rsidRPr="008F1A1D" w:rsidRDefault="0033454E" w:rsidP="0033454E">
            <w:pPr>
              <w:autoSpaceDE w:val="0"/>
              <w:autoSpaceDN w:val="0"/>
              <w:adjustRightInd w:val="0"/>
              <w:jc w:val="center"/>
              <w:rPr>
                <w:rFonts w:cs="Arial"/>
                <w:b/>
                <w:color w:val="FFFFFF" w:themeColor="background1"/>
                <w:sz w:val="20"/>
                <w:szCs w:val="20"/>
                <w:lang w:eastAsia="en-GB"/>
              </w:rPr>
            </w:pPr>
            <w:r w:rsidRPr="008F1A1D">
              <w:rPr>
                <w:rFonts w:cs="Arial"/>
                <w:b/>
                <w:color w:val="FFFFFF" w:themeColor="background1"/>
                <w:sz w:val="20"/>
                <w:szCs w:val="20"/>
                <w:lang w:eastAsia="en-GB"/>
              </w:rPr>
              <w:t>Total plants</w:t>
            </w:r>
          </w:p>
        </w:tc>
        <w:tc>
          <w:tcPr>
            <w:tcW w:w="2687" w:type="dxa"/>
            <w:gridSpan w:val="2"/>
            <w:shd w:val="clear" w:color="auto" w:fill="9BBB59" w:themeFill="accent3"/>
            <w:vAlign w:val="center"/>
          </w:tcPr>
          <w:p w14:paraId="4C9A49F8" w14:textId="77777777" w:rsidR="0033454E" w:rsidRPr="008F1A1D" w:rsidRDefault="0033454E" w:rsidP="0033454E">
            <w:pPr>
              <w:autoSpaceDE w:val="0"/>
              <w:autoSpaceDN w:val="0"/>
              <w:adjustRightInd w:val="0"/>
              <w:jc w:val="center"/>
              <w:rPr>
                <w:rFonts w:cs="Arial"/>
                <w:b/>
                <w:color w:val="FFFFFF" w:themeColor="background1"/>
                <w:sz w:val="20"/>
                <w:szCs w:val="20"/>
                <w:vertAlign w:val="superscript"/>
                <w:lang w:eastAsia="en-GB"/>
              </w:rPr>
            </w:pPr>
            <w:r w:rsidRPr="008F1A1D">
              <w:rPr>
                <w:rFonts w:cs="Arial"/>
                <w:b/>
                <w:color w:val="FFFFFF" w:themeColor="background1"/>
                <w:sz w:val="20"/>
                <w:szCs w:val="20"/>
                <w:lang w:eastAsia="en-GB"/>
              </w:rPr>
              <w:t>Ratio</w:t>
            </w:r>
            <w:r w:rsidRPr="008F1A1D">
              <w:rPr>
                <w:rFonts w:cs="Arial"/>
                <w:b/>
                <w:color w:val="FFFFFF" w:themeColor="background1"/>
                <w:sz w:val="20"/>
                <w:szCs w:val="20"/>
                <w:vertAlign w:val="superscript"/>
                <w:lang w:eastAsia="en-GB"/>
              </w:rPr>
              <w:t xml:space="preserve"> </w:t>
            </w:r>
            <w:r w:rsidRPr="008F1A1D">
              <w:rPr>
                <w:rFonts w:cs="Arial"/>
                <w:b/>
                <w:color w:val="FFFFFF" w:themeColor="background1"/>
                <w:sz w:val="20"/>
                <w:szCs w:val="20"/>
                <w:lang w:eastAsia="en-GB"/>
              </w:rPr>
              <w:t>presence:absence</w:t>
            </w:r>
          </w:p>
        </w:tc>
        <w:tc>
          <w:tcPr>
            <w:tcW w:w="972" w:type="dxa"/>
            <w:vMerge w:val="restart"/>
            <w:shd w:val="clear" w:color="auto" w:fill="9BBB59" w:themeFill="accent3"/>
            <w:vAlign w:val="center"/>
          </w:tcPr>
          <w:p w14:paraId="56148ABB" w14:textId="77777777" w:rsidR="0033454E" w:rsidRPr="008F1A1D" w:rsidRDefault="0033454E" w:rsidP="0033454E">
            <w:pPr>
              <w:autoSpaceDE w:val="0"/>
              <w:autoSpaceDN w:val="0"/>
              <w:adjustRightInd w:val="0"/>
              <w:jc w:val="center"/>
              <w:rPr>
                <w:rFonts w:cs="Arial"/>
                <w:b/>
                <w:color w:val="FFFFFF" w:themeColor="background1"/>
                <w:sz w:val="20"/>
                <w:szCs w:val="20"/>
                <w:vertAlign w:val="superscript"/>
                <w:lang w:eastAsia="en-GB"/>
              </w:rPr>
            </w:pPr>
            <w:r w:rsidRPr="008F1A1D">
              <w:rPr>
                <w:rFonts w:cs="Arial"/>
                <w:b/>
                <w:color w:val="FFFFFF" w:themeColor="background1"/>
                <w:sz w:val="20"/>
                <w:szCs w:val="20"/>
                <w:lang w:eastAsia="en-GB"/>
              </w:rPr>
              <w:t>Χ</w:t>
            </w:r>
            <w:r w:rsidRPr="008F1A1D">
              <w:rPr>
                <w:rFonts w:cs="Arial"/>
                <w:b/>
                <w:color w:val="FFFFFF" w:themeColor="background1"/>
                <w:sz w:val="20"/>
                <w:szCs w:val="20"/>
                <w:vertAlign w:val="superscript"/>
                <w:lang w:eastAsia="en-GB"/>
              </w:rPr>
              <w:t>2</w:t>
            </w:r>
          </w:p>
        </w:tc>
        <w:tc>
          <w:tcPr>
            <w:tcW w:w="1484" w:type="dxa"/>
            <w:vMerge w:val="restart"/>
            <w:shd w:val="clear" w:color="auto" w:fill="9BBB59" w:themeFill="accent3"/>
            <w:vAlign w:val="center"/>
          </w:tcPr>
          <w:p w14:paraId="6D1B0764" w14:textId="77777777" w:rsidR="0033454E" w:rsidRPr="008F1A1D" w:rsidRDefault="0033454E" w:rsidP="0033454E">
            <w:pPr>
              <w:autoSpaceDE w:val="0"/>
              <w:autoSpaceDN w:val="0"/>
              <w:adjustRightInd w:val="0"/>
              <w:jc w:val="center"/>
              <w:rPr>
                <w:rFonts w:cs="Arial"/>
                <w:b/>
                <w:color w:val="FFFFFF" w:themeColor="background1"/>
                <w:sz w:val="20"/>
                <w:szCs w:val="20"/>
                <w:vertAlign w:val="superscript"/>
                <w:lang w:eastAsia="en-GB"/>
              </w:rPr>
            </w:pPr>
            <w:r w:rsidRPr="008F1A1D">
              <w:rPr>
                <w:rFonts w:cs="Arial"/>
                <w:b/>
                <w:color w:val="FFFFFF" w:themeColor="background1"/>
                <w:sz w:val="20"/>
                <w:szCs w:val="20"/>
                <w:lang w:eastAsia="en-GB"/>
              </w:rPr>
              <w:t>Probability</w:t>
            </w:r>
            <w:r w:rsidRPr="008F1A1D">
              <w:rPr>
                <w:rFonts w:cs="Arial"/>
                <w:b/>
                <w:color w:val="FFFFFF" w:themeColor="background1"/>
                <w:sz w:val="20"/>
                <w:szCs w:val="20"/>
                <w:vertAlign w:val="superscript"/>
                <w:lang w:eastAsia="en-GB"/>
              </w:rPr>
              <w:t>1</w:t>
            </w:r>
          </w:p>
        </w:tc>
      </w:tr>
      <w:tr w:rsidR="0033454E" w:rsidRPr="001B5342" w14:paraId="0BA804F1" w14:textId="77777777" w:rsidTr="0033454E">
        <w:trPr>
          <w:trHeight w:val="397"/>
          <w:jc w:val="center"/>
        </w:trPr>
        <w:tc>
          <w:tcPr>
            <w:tcW w:w="2495" w:type="dxa"/>
            <w:vMerge/>
            <w:tcBorders>
              <w:bottom w:val="single" w:sz="4" w:space="0" w:color="auto"/>
            </w:tcBorders>
            <w:shd w:val="clear" w:color="auto" w:fill="DBE5F1" w:themeFill="accent1" w:themeFillTint="33"/>
            <w:vAlign w:val="center"/>
          </w:tcPr>
          <w:p w14:paraId="6FB32535" w14:textId="77777777" w:rsidR="0033454E" w:rsidRPr="001B5342" w:rsidRDefault="0033454E" w:rsidP="0033454E">
            <w:pPr>
              <w:autoSpaceDE w:val="0"/>
              <w:autoSpaceDN w:val="0"/>
              <w:adjustRightInd w:val="0"/>
              <w:jc w:val="center"/>
              <w:rPr>
                <w:rFonts w:cs="Arial"/>
                <w:color w:val="FF0000"/>
                <w:sz w:val="20"/>
                <w:szCs w:val="20"/>
                <w:lang w:eastAsia="en-GB"/>
              </w:rPr>
            </w:pPr>
          </w:p>
        </w:tc>
        <w:tc>
          <w:tcPr>
            <w:tcW w:w="1003" w:type="dxa"/>
            <w:vMerge/>
            <w:tcBorders>
              <w:bottom w:val="single" w:sz="4" w:space="0" w:color="auto"/>
            </w:tcBorders>
            <w:shd w:val="clear" w:color="auto" w:fill="DBE5F1" w:themeFill="accent1" w:themeFillTint="33"/>
            <w:vAlign w:val="center"/>
          </w:tcPr>
          <w:p w14:paraId="46A7538C" w14:textId="77777777" w:rsidR="0033454E" w:rsidRPr="001B5342" w:rsidRDefault="0033454E" w:rsidP="0033454E">
            <w:pPr>
              <w:autoSpaceDE w:val="0"/>
              <w:autoSpaceDN w:val="0"/>
              <w:adjustRightInd w:val="0"/>
              <w:jc w:val="center"/>
              <w:rPr>
                <w:rFonts w:cs="Arial"/>
                <w:color w:val="FF0000"/>
                <w:sz w:val="20"/>
                <w:szCs w:val="20"/>
                <w:lang w:eastAsia="en-GB"/>
              </w:rPr>
            </w:pPr>
          </w:p>
        </w:tc>
        <w:tc>
          <w:tcPr>
            <w:tcW w:w="1388" w:type="dxa"/>
            <w:tcBorders>
              <w:bottom w:val="single" w:sz="4" w:space="0" w:color="auto"/>
            </w:tcBorders>
            <w:shd w:val="clear" w:color="auto" w:fill="9BBB59" w:themeFill="accent3"/>
            <w:vAlign w:val="center"/>
          </w:tcPr>
          <w:p w14:paraId="1C3CEDEA" w14:textId="77777777" w:rsidR="0033454E" w:rsidRPr="008F1A1D" w:rsidRDefault="0033454E" w:rsidP="0033454E">
            <w:pPr>
              <w:autoSpaceDE w:val="0"/>
              <w:autoSpaceDN w:val="0"/>
              <w:adjustRightInd w:val="0"/>
              <w:jc w:val="center"/>
              <w:rPr>
                <w:rFonts w:cs="Arial"/>
                <w:color w:val="FFFFFF" w:themeColor="background1"/>
                <w:sz w:val="20"/>
                <w:szCs w:val="20"/>
                <w:lang w:eastAsia="en-GB"/>
              </w:rPr>
            </w:pPr>
            <w:r w:rsidRPr="008F1A1D">
              <w:rPr>
                <w:rFonts w:cs="Arial"/>
                <w:color w:val="FFFFFF" w:themeColor="background1"/>
                <w:sz w:val="20"/>
                <w:szCs w:val="20"/>
                <w:lang w:eastAsia="en-GB"/>
              </w:rPr>
              <w:t>Observed</w:t>
            </w:r>
          </w:p>
        </w:tc>
        <w:tc>
          <w:tcPr>
            <w:tcW w:w="1299" w:type="dxa"/>
            <w:tcBorders>
              <w:bottom w:val="single" w:sz="4" w:space="0" w:color="auto"/>
            </w:tcBorders>
            <w:shd w:val="clear" w:color="auto" w:fill="9BBB59" w:themeFill="accent3"/>
            <w:vAlign w:val="center"/>
          </w:tcPr>
          <w:p w14:paraId="687FEB7E" w14:textId="77777777" w:rsidR="0033454E" w:rsidRPr="008F1A1D" w:rsidRDefault="0033454E" w:rsidP="0033454E">
            <w:pPr>
              <w:autoSpaceDE w:val="0"/>
              <w:autoSpaceDN w:val="0"/>
              <w:adjustRightInd w:val="0"/>
              <w:jc w:val="center"/>
              <w:rPr>
                <w:rFonts w:cs="Arial"/>
                <w:color w:val="FFFFFF" w:themeColor="background1"/>
                <w:sz w:val="20"/>
                <w:szCs w:val="20"/>
                <w:lang w:eastAsia="en-GB"/>
              </w:rPr>
            </w:pPr>
            <w:r w:rsidRPr="008F1A1D">
              <w:rPr>
                <w:rFonts w:cs="Arial"/>
                <w:color w:val="FFFFFF" w:themeColor="background1"/>
                <w:sz w:val="20"/>
                <w:szCs w:val="20"/>
                <w:lang w:eastAsia="en-GB"/>
              </w:rPr>
              <w:t>Expected</w:t>
            </w:r>
          </w:p>
        </w:tc>
        <w:tc>
          <w:tcPr>
            <w:tcW w:w="972" w:type="dxa"/>
            <w:vMerge/>
            <w:tcBorders>
              <w:bottom w:val="single" w:sz="4" w:space="0" w:color="auto"/>
            </w:tcBorders>
            <w:shd w:val="clear" w:color="auto" w:fill="DBE5F1" w:themeFill="accent1" w:themeFillTint="33"/>
            <w:vAlign w:val="center"/>
          </w:tcPr>
          <w:p w14:paraId="0E7A378A" w14:textId="77777777" w:rsidR="0033454E" w:rsidRPr="008F1A1D" w:rsidRDefault="0033454E" w:rsidP="0033454E">
            <w:pPr>
              <w:autoSpaceDE w:val="0"/>
              <w:autoSpaceDN w:val="0"/>
              <w:adjustRightInd w:val="0"/>
              <w:jc w:val="center"/>
              <w:rPr>
                <w:rFonts w:cs="Arial"/>
                <w:color w:val="FFFFFF" w:themeColor="background1"/>
                <w:sz w:val="20"/>
                <w:szCs w:val="20"/>
                <w:lang w:eastAsia="en-GB"/>
              </w:rPr>
            </w:pPr>
          </w:p>
        </w:tc>
        <w:tc>
          <w:tcPr>
            <w:tcW w:w="1484" w:type="dxa"/>
            <w:vMerge/>
            <w:tcBorders>
              <w:bottom w:val="single" w:sz="4" w:space="0" w:color="auto"/>
            </w:tcBorders>
            <w:shd w:val="clear" w:color="auto" w:fill="DBE5F1" w:themeFill="accent1" w:themeFillTint="33"/>
            <w:vAlign w:val="center"/>
          </w:tcPr>
          <w:p w14:paraId="01B158CB" w14:textId="77777777" w:rsidR="0033454E" w:rsidRPr="001B5342" w:rsidRDefault="0033454E" w:rsidP="0033454E">
            <w:pPr>
              <w:autoSpaceDE w:val="0"/>
              <w:autoSpaceDN w:val="0"/>
              <w:adjustRightInd w:val="0"/>
              <w:jc w:val="center"/>
              <w:rPr>
                <w:rFonts w:cs="Arial"/>
                <w:color w:val="FF0000"/>
                <w:sz w:val="20"/>
                <w:szCs w:val="20"/>
                <w:lang w:eastAsia="en-GB"/>
              </w:rPr>
            </w:pPr>
          </w:p>
        </w:tc>
      </w:tr>
      <w:tr w:rsidR="0033454E" w:rsidRPr="001B5342" w14:paraId="6AD959A9" w14:textId="77777777" w:rsidTr="0033454E">
        <w:trPr>
          <w:trHeight w:val="283"/>
          <w:jc w:val="center"/>
        </w:trPr>
        <w:tc>
          <w:tcPr>
            <w:tcW w:w="2495" w:type="dxa"/>
            <w:vAlign w:val="center"/>
          </w:tcPr>
          <w:p w14:paraId="47D256F0" w14:textId="77777777" w:rsidR="0033454E" w:rsidRPr="008F1A1D" w:rsidRDefault="0033454E" w:rsidP="0033454E">
            <w:pPr>
              <w:autoSpaceDE w:val="0"/>
              <w:autoSpaceDN w:val="0"/>
              <w:adjustRightInd w:val="0"/>
              <w:jc w:val="center"/>
              <w:rPr>
                <w:rFonts w:cs="Arial"/>
                <w:color w:val="000000" w:themeColor="text1"/>
                <w:sz w:val="20"/>
                <w:szCs w:val="20"/>
                <w:vertAlign w:val="superscript"/>
                <w:lang w:eastAsia="en-GB"/>
              </w:rPr>
            </w:pPr>
            <w:r w:rsidRPr="008F1A1D">
              <w:rPr>
                <w:rFonts w:eastAsia="Batang" w:cs="Arial"/>
                <w:bCs/>
                <w:color w:val="000000" w:themeColor="text1"/>
                <w:sz w:val="20"/>
                <w:szCs w:val="20"/>
              </w:rPr>
              <w:t>T</w:t>
            </w:r>
            <w:r w:rsidRPr="008F1A1D">
              <w:rPr>
                <w:rFonts w:eastAsia="Batang" w:cs="Arial"/>
                <w:bCs/>
                <w:color w:val="000000" w:themeColor="text1"/>
                <w:sz w:val="20"/>
                <w:szCs w:val="20"/>
                <w:vertAlign w:val="subscript"/>
              </w:rPr>
              <w:t>3</w:t>
            </w:r>
          </w:p>
        </w:tc>
        <w:tc>
          <w:tcPr>
            <w:tcW w:w="1003" w:type="dxa"/>
            <w:vAlign w:val="center"/>
          </w:tcPr>
          <w:p w14:paraId="6B5E074C"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84</w:t>
            </w:r>
          </w:p>
        </w:tc>
        <w:tc>
          <w:tcPr>
            <w:tcW w:w="1388" w:type="dxa"/>
            <w:vAlign w:val="center"/>
          </w:tcPr>
          <w:p w14:paraId="114AE287"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42:42</w:t>
            </w:r>
          </w:p>
        </w:tc>
        <w:tc>
          <w:tcPr>
            <w:tcW w:w="1299" w:type="dxa"/>
            <w:vAlign w:val="center"/>
          </w:tcPr>
          <w:p w14:paraId="00E10886"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42:42</w:t>
            </w:r>
          </w:p>
        </w:tc>
        <w:tc>
          <w:tcPr>
            <w:tcW w:w="972" w:type="dxa"/>
            <w:vAlign w:val="center"/>
          </w:tcPr>
          <w:p w14:paraId="5410A7FD"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0.000</w:t>
            </w:r>
          </w:p>
        </w:tc>
        <w:tc>
          <w:tcPr>
            <w:tcW w:w="1484" w:type="dxa"/>
            <w:vAlign w:val="center"/>
          </w:tcPr>
          <w:p w14:paraId="1E096E4E"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r w:rsidR="0033454E" w:rsidRPr="001B5342" w14:paraId="40A2CB83" w14:textId="77777777" w:rsidTr="0033454E">
        <w:trPr>
          <w:trHeight w:val="283"/>
          <w:jc w:val="center"/>
        </w:trPr>
        <w:tc>
          <w:tcPr>
            <w:tcW w:w="2495" w:type="dxa"/>
            <w:tcBorders>
              <w:bottom w:val="single" w:sz="4" w:space="0" w:color="auto"/>
            </w:tcBorders>
            <w:shd w:val="clear" w:color="auto" w:fill="EAF1DD" w:themeFill="accent3" w:themeFillTint="33"/>
            <w:vAlign w:val="center"/>
          </w:tcPr>
          <w:p w14:paraId="2F51927F"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eastAsia="Batang" w:cs="Arial"/>
                <w:bCs/>
                <w:color w:val="000000" w:themeColor="text1"/>
                <w:sz w:val="20"/>
                <w:szCs w:val="20"/>
              </w:rPr>
              <w:t>T</w:t>
            </w:r>
            <w:r w:rsidRPr="008F1A1D">
              <w:rPr>
                <w:rFonts w:eastAsia="Batang" w:cs="Arial"/>
                <w:bCs/>
                <w:color w:val="000000" w:themeColor="text1"/>
                <w:sz w:val="20"/>
                <w:szCs w:val="20"/>
                <w:vertAlign w:val="subscript"/>
              </w:rPr>
              <w:t>4</w:t>
            </w:r>
          </w:p>
        </w:tc>
        <w:tc>
          <w:tcPr>
            <w:tcW w:w="1003" w:type="dxa"/>
            <w:tcBorders>
              <w:bottom w:val="single" w:sz="4" w:space="0" w:color="auto"/>
            </w:tcBorders>
            <w:shd w:val="clear" w:color="auto" w:fill="EAF1DD" w:themeFill="accent3" w:themeFillTint="33"/>
            <w:vAlign w:val="center"/>
          </w:tcPr>
          <w:p w14:paraId="676DCD67"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92</w:t>
            </w:r>
          </w:p>
        </w:tc>
        <w:tc>
          <w:tcPr>
            <w:tcW w:w="1388" w:type="dxa"/>
            <w:tcBorders>
              <w:bottom w:val="single" w:sz="4" w:space="0" w:color="auto"/>
            </w:tcBorders>
            <w:shd w:val="clear" w:color="auto" w:fill="EAF1DD" w:themeFill="accent3" w:themeFillTint="33"/>
            <w:vAlign w:val="center"/>
          </w:tcPr>
          <w:p w14:paraId="7A6DDC41"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48:44</w:t>
            </w:r>
          </w:p>
        </w:tc>
        <w:tc>
          <w:tcPr>
            <w:tcW w:w="1299" w:type="dxa"/>
            <w:tcBorders>
              <w:bottom w:val="single" w:sz="4" w:space="0" w:color="auto"/>
            </w:tcBorders>
            <w:shd w:val="clear" w:color="auto" w:fill="EAF1DD" w:themeFill="accent3" w:themeFillTint="33"/>
            <w:vAlign w:val="center"/>
          </w:tcPr>
          <w:p w14:paraId="63A7A2C5"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46:46</w:t>
            </w:r>
          </w:p>
        </w:tc>
        <w:tc>
          <w:tcPr>
            <w:tcW w:w="972" w:type="dxa"/>
            <w:tcBorders>
              <w:bottom w:val="single" w:sz="4" w:space="0" w:color="auto"/>
            </w:tcBorders>
            <w:shd w:val="clear" w:color="auto" w:fill="EAF1DD" w:themeFill="accent3" w:themeFillTint="33"/>
            <w:vAlign w:val="center"/>
          </w:tcPr>
          <w:p w14:paraId="311C54D5"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0.174</w:t>
            </w:r>
          </w:p>
        </w:tc>
        <w:tc>
          <w:tcPr>
            <w:tcW w:w="1484" w:type="dxa"/>
            <w:tcBorders>
              <w:bottom w:val="single" w:sz="4" w:space="0" w:color="auto"/>
            </w:tcBorders>
            <w:shd w:val="clear" w:color="auto" w:fill="EAF1DD" w:themeFill="accent3" w:themeFillTint="33"/>
            <w:vAlign w:val="center"/>
          </w:tcPr>
          <w:p w14:paraId="26EF2D1F"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r w:rsidR="0033454E" w:rsidRPr="001B5342" w14:paraId="4AF8DC59" w14:textId="77777777" w:rsidTr="0033454E">
        <w:trPr>
          <w:trHeight w:val="283"/>
          <w:jc w:val="center"/>
        </w:trPr>
        <w:tc>
          <w:tcPr>
            <w:tcW w:w="2495" w:type="dxa"/>
            <w:tcBorders>
              <w:bottom w:val="single" w:sz="4" w:space="0" w:color="auto"/>
            </w:tcBorders>
            <w:vAlign w:val="center"/>
          </w:tcPr>
          <w:p w14:paraId="406644D8" w14:textId="77777777" w:rsidR="0033454E" w:rsidRPr="008F1A1D" w:rsidRDefault="0033454E" w:rsidP="0033454E">
            <w:pPr>
              <w:autoSpaceDE w:val="0"/>
              <w:autoSpaceDN w:val="0"/>
              <w:adjustRightInd w:val="0"/>
              <w:jc w:val="center"/>
              <w:rPr>
                <w:rFonts w:eastAsia="Batang" w:cs="Arial"/>
                <w:bCs/>
                <w:color w:val="000000" w:themeColor="text1"/>
                <w:sz w:val="20"/>
                <w:szCs w:val="20"/>
              </w:rPr>
            </w:pPr>
            <w:r w:rsidRPr="008F1A1D">
              <w:rPr>
                <w:rFonts w:eastAsia="Batang" w:cs="Arial"/>
                <w:bCs/>
                <w:color w:val="000000" w:themeColor="text1"/>
                <w:sz w:val="20"/>
                <w:szCs w:val="20"/>
              </w:rPr>
              <w:t>T</w:t>
            </w:r>
            <w:r w:rsidRPr="008F1A1D">
              <w:rPr>
                <w:rFonts w:eastAsia="Batang" w:cs="Arial"/>
                <w:bCs/>
                <w:color w:val="000000" w:themeColor="text1"/>
                <w:sz w:val="20"/>
                <w:szCs w:val="20"/>
                <w:vertAlign w:val="subscript"/>
              </w:rPr>
              <w:t>5</w:t>
            </w:r>
          </w:p>
        </w:tc>
        <w:tc>
          <w:tcPr>
            <w:tcW w:w="1003" w:type="dxa"/>
            <w:tcBorders>
              <w:bottom w:val="single" w:sz="4" w:space="0" w:color="auto"/>
            </w:tcBorders>
            <w:vAlign w:val="center"/>
          </w:tcPr>
          <w:p w14:paraId="2E6BEDA8"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95</w:t>
            </w:r>
          </w:p>
        </w:tc>
        <w:tc>
          <w:tcPr>
            <w:tcW w:w="1388" w:type="dxa"/>
            <w:tcBorders>
              <w:bottom w:val="single" w:sz="4" w:space="0" w:color="auto"/>
            </w:tcBorders>
            <w:vAlign w:val="center"/>
          </w:tcPr>
          <w:p w14:paraId="7D89220A"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39:56</w:t>
            </w:r>
          </w:p>
        </w:tc>
        <w:tc>
          <w:tcPr>
            <w:tcW w:w="1299" w:type="dxa"/>
            <w:tcBorders>
              <w:bottom w:val="single" w:sz="4" w:space="0" w:color="auto"/>
            </w:tcBorders>
            <w:vAlign w:val="center"/>
          </w:tcPr>
          <w:p w14:paraId="10EBDBF0"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47.5:47.5</w:t>
            </w:r>
          </w:p>
        </w:tc>
        <w:tc>
          <w:tcPr>
            <w:tcW w:w="972" w:type="dxa"/>
            <w:tcBorders>
              <w:bottom w:val="single" w:sz="4" w:space="0" w:color="auto"/>
            </w:tcBorders>
            <w:vAlign w:val="center"/>
          </w:tcPr>
          <w:p w14:paraId="436134DE"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3.042</w:t>
            </w:r>
          </w:p>
        </w:tc>
        <w:tc>
          <w:tcPr>
            <w:tcW w:w="1484" w:type="dxa"/>
            <w:tcBorders>
              <w:bottom w:val="single" w:sz="4" w:space="0" w:color="auto"/>
            </w:tcBorders>
            <w:vAlign w:val="center"/>
          </w:tcPr>
          <w:p w14:paraId="033608B6"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r w:rsidR="0033454E" w:rsidRPr="001B5342" w14:paraId="3E518A89" w14:textId="77777777" w:rsidTr="0033454E">
        <w:trPr>
          <w:trHeight w:val="283"/>
          <w:jc w:val="center"/>
        </w:trPr>
        <w:tc>
          <w:tcPr>
            <w:tcW w:w="2495" w:type="dxa"/>
            <w:tcBorders>
              <w:top w:val="single" w:sz="4" w:space="0" w:color="auto"/>
            </w:tcBorders>
            <w:shd w:val="clear" w:color="auto" w:fill="EAF1DD" w:themeFill="accent3" w:themeFillTint="33"/>
            <w:vAlign w:val="center"/>
          </w:tcPr>
          <w:p w14:paraId="482A1EF2" w14:textId="77777777" w:rsidR="0033454E" w:rsidRPr="008F1A1D" w:rsidRDefault="0033454E" w:rsidP="0033454E">
            <w:pPr>
              <w:autoSpaceDE w:val="0"/>
              <w:autoSpaceDN w:val="0"/>
              <w:adjustRightInd w:val="0"/>
              <w:jc w:val="center"/>
              <w:rPr>
                <w:rFonts w:eastAsia="Batang" w:cs="Arial"/>
                <w:bCs/>
                <w:color w:val="000000" w:themeColor="text1"/>
                <w:sz w:val="20"/>
                <w:szCs w:val="20"/>
              </w:rPr>
            </w:pPr>
            <w:r w:rsidRPr="008F1A1D">
              <w:rPr>
                <w:rFonts w:eastAsia="Batang" w:cs="Arial"/>
                <w:bCs/>
                <w:color w:val="000000" w:themeColor="text1"/>
                <w:sz w:val="20"/>
                <w:szCs w:val="20"/>
              </w:rPr>
              <w:t>BC</w:t>
            </w:r>
            <w:r w:rsidRPr="008F1A1D">
              <w:rPr>
                <w:rFonts w:eastAsia="Batang" w:cs="Arial"/>
                <w:bCs/>
                <w:color w:val="000000" w:themeColor="text1"/>
                <w:sz w:val="20"/>
                <w:szCs w:val="20"/>
                <w:vertAlign w:val="subscript"/>
              </w:rPr>
              <w:t>4</w:t>
            </w:r>
            <w:r w:rsidRPr="008F1A1D">
              <w:rPr>
                <w:rFonts w:eastAsia="Batang" w:cs="Arial"/>
                <w:bCs/>
                <w:color w:val="000000" w:themeColor="text1"/>
                <w:sz w:val="20"/>
                <w:szCs w:val="20"/>
              </w:rPr>
              <w:t>*</w:t>
            </w:r>
            <w:r w:rsidRPr="008F1A1D">
              <w:rPr>
                <w:rFonts w:eastAsia="Batang" w:cs="Arial"/>
                <w:bCs/>
                <w:color w:val="000000" w:themeColor="text1"/>
                <w:sz w:val="20"/>
                <w:szCs w:val="20"/>
                <w:vertAlign w:val="superscript"/>
              </w:rPr>
              <w:t>1</w:t>
            </w:r>
          </w:p>
        </w:tc>
        <w:tc>
          <w:tcPr>
            <w:tcW w:w="1003" w:type="dxa"/>
            <w:tcBorders>
              <w:top w:val="single" w:sz="4" w:space="0" w:color="auto"/>
            </w:tcBorders>
            <w:shd w:val="clear" w:color="auto" w:fill="EAF1DD" w:themeFill="accent3" w:themeFillTint="33"/>
            <w:vAlign w:val="center"/>
          </w:tcPr>
          <w:p w14:paraId="12F207E1"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89</w:t>
            </w:r>
          </w:p>
        </w:tc>
        <w:tc>
          <w:tcPr>
            <w:tcW w:w="1388" w:type="dxa"/>
            <w:tcBorders>
              <w:top w:val="single" w:sz="4" w:space="0" w:color="auto"/>
            </w:tcBorders>
            <w:shd w:val="clear" w:color="auto" w:fill="EAF1DD" w:themeFill="accent3" w:themeFillTint="33"/>
            <w:vAlign w:val="center"/>
          </w:tcPr>
          <w:p w14:paraId="6A24EDAC"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43:46</w:t>
            </w:r>
          </w:p>
        </w:tc>
        <w:tc>
          <w:tcPr>
            <w:tcW w:w="1299" w:type="dxa"/>
            <w:tcBorders>
              <w:top w:val="single" w:sz="4" w:space="0" w:color="auto"/>
            </w:tcBorders>
            <w:shd w:val="clear" w:color="auto" w:fill="EAF1DD" w:themeFill="accent3" w:themeFillTint="33"/>
            <w:vAlign w:val="center"/>
          </w:tcPr>
          <w:p w14:paraId="25BEBC66"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44.5:44.5</w:t>
            </w:r>
          </w:p>
        </w:tc>
        <w:tc>
          <w:tcPr>
            <w:tcW w:w="972" w:type="dxa"/>
            <w:tcBorders>
              <w:top w:val="single" w:sz="4" w:space="0" w:color="auto"/>
            </w:tcBorders>
            <w:shd w:val="clear" w:color="auto" w:fill="EAF1DD" w:themeFill="accent3" w:themeFillTint="33"/>
            <w:vAlign w:val="center"/>
          </w:tcPr>
          <w:p w14:paraId="214E5186"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0.101</w:t>
            </w:r>
          </w:p>
        </w:tc>
        <w:tc>
          <w:tcPr>
            <w:tcW w:w="1484" w:type="dxa"/>
            <w:tcBorders>
              <w:top w:val="single" w:sz="4" w:space="0" w:color="auto"/>
            </w:tcBorders>
            <w:shd w:val="clear" w:color="auto" w:fill="EAF1DD" w:themeFill="accent3" w:themeFillTint="33"/>
            <w:vAlign w:val="center"/>
          </w:tcPr>
          <w:p w14:paraId="549A4B8F"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r w:rsidR="0033454E" w:rsidRPr="001B5342" w14:paraId="6F5DA166" w14:textId="77777777" w:rsidTr="0033454E">
        <w:trPr>
          <w:trHeight w:val="283"/>
          <w:jc w:val="center"/>
        </w:trPr>
        <w:tc>
          <w:tcPr>
            <w:tcW w:w="2495" w:type="dxa"/>
            <w:tcBorders>
              <w:bottom w:val="single" w:sz="4" w:space="0" w:color="auto"/>
            </w:tcBorders>
            <w:vAlign w:val="center"/>
          </w:tcPr>
          <w:p w14:paraId="593C7E96" w14:textId="77777777" w:rsidR="0033454E" w:rsidRPr="008F1A1D" w:rsidRDefault="0033454E" w:rsidP="0033454E">
            <w:pPr>
              <w:autoSpaceDE w:val="0"/>
              <w:autoSpaceDN w:val="0"/>
              <w:adjustRightInd w:val="0"/>
              <w:jc w:val="center"/>
              <w:rPr>
                <w:rFonts w:eastAsia="Batang" w:cs="Arial"/>
                <w:bCs/>
                <w:color w:val="000000" w:themeColor="text1"/>
                <w:sz w:val="20"/>
                <w:szCs w:val="20"/>
              </w:rPr>
            </w:pPr>
            <w:r w:rsidRPr="008F1A1D">
              <w:rPr>
                <w:rFonts w:eastAsia="Batang" w:cs="Arial"/>
                <w:bCs/>
                <w:color w:val="000000" w:themeColor="text1"/>
                <w:sz w:val="20"/>
                <w:szCs w:val="20"/>
              </w:rPr>
              <w:t>BC</w:t>
            </w:r>
            <w:r w:rsidRPr="008F1A1D">
              <w:rPr>
                <w:rFonts w:eastAsia="Batang" w:cs="Arial"/>
                <w:bCs/>
                <w:color w:val="000000" w:themeColor="text1"/>
                <w:sz w:val="20"/>
                <w:szCs w:val="20"/>
                <w:vertAlign w:val="subscript"/>
              </w:rPr>
              <w:t>5</w:t>
            </w:r>
            <w:r w:rsidRPr="008F1A1D">
              <w:rPr>
                <w:rFonts w:eastAsia="Batang" w:cs="Arial"/>
                <w:bCs/>
                <w:color w:val="000000" w:themeColor="text1"/>
                <w:sz w:val="20"/>
                <w:szCs w:val="20"/>
              </w:rPr>
              <w:t>*</w:t>
            </w:r>
            <w:r w:rsidRPr="008F1A1D">
              <w:rPr>
                <w:rFonts w:eastAsia="Batang" w:cs="Arial"/>
                <w:bCs/>
                <w:color w:val="000000" w:themeColor="text1"/>
                <w:sz w:val="20"/>
                <w:szCs w:val="20"/>
                <w:vertAlign w:val="superscript"/>
              </w:rPr>
              <w:t>1</w:t>
            </w:r>
          </w:p>
        </w:tc>
        <w:tc>
          <w:tcPr>
            <w:tcW w:w="1003" w:type="dxa"/>
            <w:tcBorders>
              <w:bottom w:val="single" w:sz="4" w:space="0" w:color="auto"/>
            </w:tcBorders>
            <w:vAlign w:val="center"/>
          </w:tcPr>
          <w:p w14:paraId="00D13203"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98</w:t>
            </w:r>
          </w:p>
        </w:tc>
        <w:tc>
          <w:tcPr>
            <w:tcW w:w="1388" w:type="dxa"/>
            <w:tcBorders>
              <w:bottom w:val="single" w:sz="4" w:space="0" w:color="auto"/>
            </w:tcBorders>
            <w:vAlign w:val="center"/>
          </w:tcPr>
          <w:p w14:paraId="747857AE"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51:47</w:t>
            </w:r>
          </w:p>
        </w:tc>
        <w:tc>
          <w:tcPr>
            <w:tcW w:w="1299" w:type="dxa"/>
            <w:tcBorders>
              <w:bottom w:val="single" w:sz="4" w:space="0" w:color="auto"/>
            </w:tcBorders>
            <w:vAlign w:val="center"/>
          </w:tcPr>
          <w:p w14:paraId="47C8B010"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49:49</w:t>
            </w:r>
          </w:p>
        </w:tc>
        <w:tc>
          <w:tcPr>
            <w:tcW w:w="972" w:type="dxa"/>
            <w:tcBorders>
              <w:bottom w:val="single" w:sz="4" w:space="0" w:color="auto"/>
            </w:tcBorders>
            <w:vAlign w:val="center"/>
          </w:tcPr>
          <w:p w14:paraId="791732CC"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0.163</w:t>
            </w:r>
          </w:p>
        </w:tc>
        <w:tc>
          <w:tcPr>
            <w:tcW w:w="1484" w:type="dxa"/>
            <w:tcBorders>
              <w:bottom w:val="single" w:sz="4" w:space="0" w:color="auto"/>
            </w:tcBorders>
            <w:vAlign w:val="center"/>
          </w:tcPr>
          <w:p w14:paraId="0A04A5E9" w14:textId="77777777" w:rsidR="0033454E" w:rsidRPr="008F1A1D" w:rsidRDefault="0033454E" w:rsidP="0033454E">
            <w:pPr>
              <w:autoSpaceDE w:val="0"/>
              <w:autoSpaceDN w:val="0"/>
              <w:adjustRightInd w:val="0"/>
              <w:jc w:val="center"/>
              <w:rPr>
                <w:rFonts w:cs="Arial"/>
                <w:color w:val="000000" w:themeColor="text1"/>
                <w:sz w:val="20"/>
                <w:szCs w:val="20"/>
                <w:lang w:eastAsia="en-GB"/>
              </w:rPr>
            </w:pPr>
            <w:r w:rsidRPr="008F1A1D">
              <w:rPr>
                <w:rFonts w:cs="Arial"/>
                <w:color w:val="000000" w:themeColor="text1"/>
                <w:sz w:val="20"/>
                <w:szCs w:val="20"/>
                <w:lang w:eastAsia="en-GB"/>
              </w:rPr>
              <w:t>NS</w:t>
            </w:r>
          </w:p>
        </w:tc>
      </w:tr>
    </w:tbl>
    <w:p w14:paraId="7605CA60" w14:textId="77777777" w:rsidR="0033454E" w:rsidRDefault="0033454E" w:rsidP="0033454E">
      <w:pPr>
        <w:autoSpaceDE w:val="0"/>
        <w:autoSpaceDN w:val="0"/>
        <w:adjustRightInd w:val="0"/>
        <w:rPr>
          <w:rFonts w:cs="Arial"/>
          <w:color w:val="000000" w:themeColor="text1"/>
          <w:sz w:val="20"/>
          <w:szCs w:val="20"/>
          <w:lang w:eastAsia="en-GB"/>
        </w:rPr>
      </w:pPr>
      <w:r w:rsidRPr="008F1A1D">
        <w:rPr>
          <w:rFonts w:cs="Arial"/>
          <w:color w:val="000000" w:themeColor="text1"/>
          <w:sz w:val="20"/>
          <w:szCs w:val="20"/>
          <w:vertAlign w:val="superscript"/>
          <w:lang w:eastAsia="en-GB"/>
        </w:rPr>
        <w:t>1</w:t>
      </w:r>
      <w:r w:rsidRPr="008F1A1D">
        <w:rPr>
          <w:rFonts w:cs="Arial"/>
          <w:color w:val="000000" w:themeColor="text1"/>
          <w:sz w:val="20"/>
          <w:szCs w:val="20"/>
          <w:lang w:eastAsia="en-GB"/>
        </w:rPr>
        <w:t>NS = not significant -Χ</w:t>
      </w:r>
      <w:r w:rsidRPr="008F1A1D">
        <w:rPr>
          <w:rFonts w:cs="Arial"/>
          <w:color w:val="000000" w:themeColor="text1"/>
          <w:sz w:val="20"/>
          <w:szCs w:val="20"/>
          <w:vertAlign w:val="superscript"/>
          <w:lang w:eastAsia="en-GB"/>
        </w:rPr>
        <w:t>2</w:t>
      </w:r>
      <w:r w:rsidRPr="008F1A1D">
        <w:rPr>
          <w:rFonts w:cs="Arial"/>
          <w:color w:val="000000" w:themeColor="text1"/>
          <w:sz w:val="20"/>
          <w:szCs w:val="20"/>
          <w:lang w:eastAsia="en-GB"/>
        </w:rPr>
        <w:t>&lt;3.84 (5% confidence level)</w:t>
      </w:r>
    </w:p>
    <w:p w14:paraId="5731BC89" w14:textId="77777777" w:rsidR="0033454E" w:rsidRPr="006B6761" w:rsidRDefault="0033454E" w:rsidP="0033454E">
      <w:pPr>
        <w:autoSpaceDE w:val="0"/>
        <w:autoSpaceDN w:val="0"/>
        <w:adjustRightInd w:val="0"/>
        <w:rPr>
          <w:rFonts w:cs="Arial"/>
          <w:color w:val="000000" w:themeColor="text1"/>
          <w:szCs w:val="22"/>
          <w:lang w:eastAsia="en-GB"/>
        </w:rPr>
      </w:pPr>
    </w:p>
    <w:p w14:paraId="2A1AB0C2" w14:textId="77777777" w:rsidR="0033454E" w:rsidRPr="00074884" w:rsidRDefault="0033454E" w:rsidP="0033454E">
      <w:pPr>
        <w:widowControl/>
        <w:autoSpaceDE w:val="0"/>
        <w:autoSpaceDN w:val="0"/>
        <w:adjustRightInd w:val="0"/>
        <w:rPr>
          <w:rFonts w:cs="Arial"/>
          <w:color w:val="000000" w:themeColor="text1"/>
          <w:szCs w:val="22"/>
          <w:lang w:eastAsia="en-GB" w:bidi="ar-SA"/>
        </w:rPr>
      </w:pPr>
      <w:r w:rsidRPr="006B6761">
        <w:rPr>
          <w:rFonts w:cs="Arial"/>
          <w:szCs w:val="22"/>
          <w:lang w:eastAsia="en-GB" w:bidi="ar-SA"/>
        </w:rPr>
        <w:t xml:space="preserve">The results from the gene-specific PCR analysis confirmed that the </w:t>
      </w:r>
      <w:r w:rsidRPr="006B6761">
        <w:rPr>
          <w:rFonts w:cs="Arial"/>
          <w:i/>
          <w:iCs/>
          <w:szCs w:val="22"/>
          <w:lang w:eastAsia="en-GB" w:bidi="ar-SA"/>
        </w:rPr>
        <w:t>bar</w:t>
      </w:r>
      <w:r w:rsidRPr="006B6761">
        <w:rPr>
          <w:rFonts w:cs="Arial"/>
          <w:szCs w:val="22"/>
          <w:lang w:eastAsia="en-GB" w:bidi="ar-SA"/>
        </w:rPr>
        <w:t xml:space="preserve">, </w:t>
      </w:r>
      <w:r w:rsidRPr="006B6761">
        <w:rPr>
          <w:rFonts w:cs="Arial"/>
          <w:i/>
          <w:iCs/>
          <w:szCs w:val="22"/>
          <w:lang w:eastAsia="en-GB" w:bidi="ar-SA"/>
        </w:rPr>
        <w:t>barstar</w:t>
      </w:r>
      <w:r w:rsidRPr="006B6761">
        <w:rPr>
          <w:rFonts w:cs="Arial"/>
          <w:szCs w:val="22"/>
          <w:lang w:eastAsia="en-GB" w:bidi="ar-SA"/>
        </w:rPr>
        <w:t xml:space="preserve">, and </w:t>
      </w:r>
      <w:r w:rsidRPr="006B6761">
        <w:rPr>
          <w:rFonts w:cs="Arial"/>
          <w:i/>
          <w:iCs/>
          <w:szCs w:val="22"/>
          <w:lang w:eastAsia="en-GB" w:bidi="ar-SA"/>
        </w:rPr>
        <w:t xml:space="preserve">barnase </w:t>
      </w:r>
      <w:r w:rsidRPr="006B6761">
        <w:rPr>
          <w:rFonts w:cs="Arial"/>
          <w:szCs w:val="22"/>
          <w:lang w:eastAsia="en-GB" w:bidi="ar-SA"/>
        </w:rPr>
        <w:t xml:space="preserve">genes are present for samples positive for </w:t>
      </w:r>
      <w:r>
        <w:rPr>
          <w:rFonts w:cs="Arial"/>
          <w:szCs w:val="22"/>
          <w:lang w:eastAsia="en-GB" w:bidi="ar-SA"/>
        </w:rPr>
        <w:t xml:space="preserve">the </w:t>
      </w:r>
      <w:r w:rsidRPr="006B6761">
        <w:rPr>
          <w:rFonts w:cs="Arial"/>
          <w:szCs w:val="22"/>
          <w:lang w:eastAsia="en-GB" w:bidi="ar-SA"/>
        </w:rPr>
        <w:t xml:space="preserve">MS11 </w:t>
      </w:r>
      <w:r>
        <w:rPr>
          <w:rFonts w:cs="Arial"/>
          <w:szCs w:val="22"/>
          <w:lang w:eastAsia="en-GB" w:bidi="ar-SA"/>
        </w:rPr>
        <w:t xml:space="preserve">event </w:t>
      </w:r>
      <w:r w:rsidRPr="006B6761">
        <w:rPr>
          <w:rFonts w:cs="Arial"/>
          <w:szCs w:val="22"/>
          <w:lang w:eastAsia="en-GB" w:bidi="ar-SA"/>
        </w:rPr>
        <w:t xml:space="preserve">and are absent for samples negative for </w:t>
      </w:r>
      <w:r>
        <w:rPr>
          <w:rFonts w:cs="Arial"/>
          <w:szCs w:val="22"/>
          <w:lang w:eastAsia="en-GB" w:bidi="ar-SA"/>
        </w:rPr>
        <w:t xml:space="preserve">the </w:t>
      </w:r>
      <w:r>
        <w:rPr>
          <w:rFonts w:cs="Arial"/>
          <w:color w:val="000000" w:themeColor="text1"/>
          <w:szCs w:val="22"/>
          <w:lang w:eastAsia="en-GB" w:bidi="ar-SA"/>
        </w:rPr>
        <w:t>MS11event.</w:t>
      </w:r>
    </w:p>
    <w:p w14:paraId="5CFBC5E9" w14:textId="77777777" w:rsidR="0033454E" w:rsidRPr="00074884" w:rsidRDefault="0033454E" w:rsidP="0033454E">
      <w:pPr>
        <w:pStyle w:val="Heading2"/>
        <w:rPr>
          <w:color w:val="000000" w:themeColor="text1"/>
        </w:rPr>
      </w:pPr>
      <w:bookmarkStart w:id="31" w:name="_Toc481491433"/>
      <w:bookmarkEnd w:id="29"/>
      <w:r w:rsidRPr="00074884">
        <w:rPr>
          <w:color w:val="000000" w:themeColor="text1"/>
        </w:rPr>
        <w:t>3.6</w:t>
      </w:r>
      <w:r w:rsidRPr="00074884">
        <w:rPr>
          <w:color w:val="000000" w:themeColor="text1"/>
        </w:rPr>
        <w:tab/>
        <w:t>Conclusion</w:t>
      </w:r>
      <w:bookmarkEnd w:id="31"/>
    </w:p>
    <w:p w14:paraId="41E467C4" w14:textId="77777777" w:rsidR="0033454E" w:rsidRPr="00162DCD" w:rsidRDefault="0033454E" w:rsidP="0033454E">
      <w:pPr>
        <w:pStyle w:val="BodyText"/>
        <w:rPr>
          <w:rFonts w:cs="Arial"/>
          <w:color w:val="000000" w:themeColor="text1"/>
          <w:szCs w:val="22"/>
        </w:rPr>
      </w:pPr>
      <w:r w:rsidRPr="00074884">
        <w:rPr>
          <w:color w:val="000000" w:themeColor="text1"/>
        </w:rPr>
        <w:t xml:space="preserve">MS11 was generated through </w:t>
      </w:r>
      <w:r w:rsidRPr="00074884">
        <w:rPr>
          <w:i/>
          <w:color w:val="000000" w:themeColor="text1"/>
        </w:rPr>
        <w:t>Agrobacterium</w:t>
      </w:r>
      <w:r w:rsidRPr="00074884">
        <w:rPr>
          <w:color w:val="000000" w:themeColor="text1"/>
        </w:rPr>
        <w:t xml:space="preserve">-mediated transformation with a single T-DNA containing three expression cassettes. </w:t>
      </w:r>
      <w:r w:rsidRPr="00074884">
        <w:rPr>
          <w:rFonts w:cs="Arial"/>
          <w:color w:val="000000" w:themeColor="text1"/>
          <w:szCs w:val="22"/>
          <w:lang w:val="en-US"/>
        </w:rPr>
        <w:t>Comprehensive molecular analyses indicate there is a single insertion site</w:t>
      </w:r>
      <w:r>
        <w:rPr>
          <w:rFonts w:cs="Arial"/>
          <w:color w:val="000000" w:themeColor="text1"/>
          <w:szCs w:val="22"/>
          <w:lang w:val="en-US"/>
        </w:rPr>
        <w:t>,</w:t>
      </w:r>
      <w:r w:rsidRPr="00074884">
        <w:rPr>
          <w:rFonts w:cs="Arial"/>
          <w:color w:val="000000" w:themeColor="text1"/>
          <w:szCs w:val="22"/>
          <w:lang w:val="en-US"/>
        </w:rPr>
        <w:t xml:space="preserve"> in chromosome A03</w:t>
      </w:r>
      <w:r>
        <w:rPr>
          <w:rFonts w:cs="Arial"/>
          <w:color w:val="000000" w:themeColor="text1"/>
          <w:szCs w:val="22"/>
          <w:lang w:val="en-US"/>
        </w:rPr>
        <w:t>,</w:t>
      </w:r>
      <w:r w:rsidRPr="00074884">
        <w:rPr>
          <w:rFonts w:cs="Arial"/>
          <w:color w:val="000000" w:themeColor="text1"/>
          <w:szCs w:val="22"/>
          <w:lang w:val="en-US"/>
        </w:rPr>
        <w:t xml:space="preserve"> </w:t>
      </w:r>
      <w:r w:rsidRPr="00074884">
        <w:rPr>
          <w:rFonts w:cs="Arial"/>
          <w:color w:val="000000" w:themeColor="text1"/>
          <w:szCs w:val="22"/>
        </w:rPr>
        <w:t xml:space="preserve">comprising a single, complete copy of each of the </w:t>
      </w:r>
      <w:r w:rsidRPr="00074884">
        <w:rPr>
          <w:i/>
          <w:color w:val="000000" w:themeColor="text1"/>
          <w:szCs w:val="22"/>
        </w:rPr>
        <w:t>bar, barnase</w:t>
      </w:r>
      <w:r>
        <w:rPr>
          <w:i/>
          <w:color w:val="000000" w:themeColor="text1"/>
          <w:szCs w:val="22"/>
        </w:rPr>
        <w:t xml:space="preserve"> </w:t>
      </w:r>
      <w:r w:rsidRPr="00074884">
        <w:rPr>
          <w:color w:val="000000" w:themeColor="text1"/>
          <w:szCs w:val="22"/>
        </w:rPr>
        <w:t xml:space="preserve">and </w:t>
      </w:r>
      <w:r w:rsidRPr="00074884">
        <w:rPr>
          <w:i/>
          <w:color w:val="000000" w:themeColor="text1"/>
          <w:szCs w:val="22"/>
        </w:rPr>
        <w:t>barstar</w:t>
      </w:r>
      <w:r w:rsidRPr="00074884">
        <w:rPr>
          <w:color w:val="000000" w:themeColor="text1"/>
          <w:szCs w:val="22"/>
        </w:rPr>
        <w:t xml:space="preserve"> genes</w:t>
      </w:r>
      <w:r w:rsidRPr="00074884">
        <w:rPr>
          <w:color w:val="000000" w:themeColor="text1"/>
        </w:rPr>
        <w:t xml:space="preserve"> with their regulatory elements</w:t>
      </w:r>
      <w:r w:rsidRPr="00074884">
        <w:rPr>
          <w:rFonts w:cs="Arial"/>
          <w:color w:val="000000" w:themeColor="text1"/>
          <w:szCs w:val="22"/>
        </w:rPr>
        <w:t xml:space="preserve">. </w:t>
      </w:r>
      <w:r w:rsidRPr="00074884">
        <w:rPr>
          <w:rFonts w:cs="Arial"/>
          <w:color w:val="000000" w:themeColor="text1"/>
          <w:szCs w:val="22"/>
          <w:lang w:val="en-US"/>
        </w:rPr>
        <w:t xml:space="preserve">The introduced genes are stably inherited from one generation to the next. </w:t>
      </w:r>
      <w:r w:rsidRPr="00074884">
        <w:rPr>
          <w:rFonts w:cs="Arial"/>
          <w:color w:val="000000" w:themeColor="text1"/>
          <w:szCs w:val="22"/>
        </w:rPr>
        <w:t>No plasmid backbone has been incorporated into the transgenic locus and no endogenous genes have been disrupted as a result of the transformation process.</w:t>
      </w:r>
    </w:p>
    <w:p w14:paraId="726DA829" w14:textId="77777777" w:rsidR="0033454E" w:rsidRPr="00074884" w:rsidRDefault="0033454E" w:rsidP="0033454E">
      <w:pPr>
        <w:pStyle w:val="Heading1"/>
        <w:ind w:left="720" w:hanging="720"/>
        <w:jc w:val="both"/>
        <w:rPr>
          <w:color w:val="000000" w:themeColor="text1"/>
          <w:szCs w:val="36"/>
        </w:rPr>
      </w:pPr>
      <w:bookmarkStart w:id="32" w:name="_Toc481491434"/>
      <w:r w:rsidRPr="00074884">
        <w:rPr>
          <w:color w:val="000000" w:themeColor="text1"/>
          <w:szCs w:val="36"/>
        </w:rPr>
        <w:t>4</w:t>
      </w:r>
      <w:r w:rsidRPr="00074884">
        <w:rPr>
          <w:color w:val="000000" w:themeColor="text1"/>
          <w:szCs w:val="36"/>
        </w:rPr>
        <w:tab/>
        <w:t>Characterisation and safety assessment of new substances</w:t>
      </w:r>
      <w:bookmarkEnd w:id="32"/>
    </w:p>
    <w:p w14:paraId="73D9248D" w14:textId="622873BD" w:rsidR="0093373F" w:rsidRDefault="0033454E" w:rsidP="0033454E">
      <w:pPr>
        <w:rPr>
          <w:rFonts w:cs="Arial"/>
          <w:color w:val="000000" w:themeColor="text1"/>
          <w:szCs w:val="22"/>
        </w:rPr>
      </w:pPr>
      <w:r w:rsidRPr="00074884">
        <w:rPr>
          <w:rFonts w:cs="Arial"/>
          <w:color w:val="000000" w:themeColor="text1"/>
          <w:szCs w:val="22"/>
        </w:rPr>
        <w:t>The main purpose of the characterisation is to describe the nature of any new substances and their phenotypic and biochemical effects on the organism in which they are expressed, particularly in the parts of the organism consumed as food. Typically, the main focus of the characterisation is on newly expressed (or potentially expressed) proteins, but other (non-protein) substances may need to be considered.</w:t>
      </w:r>
      <w:r w:rsidR="0093373F">
        <w:rPr>
          <w:rFonts w:cs="Arial"/>
          <w:color w:val="000000" w:themeColor="text1"/>
          <w:szCs w:val="22"/>
        </w:rPr>
        <w:br w:type="page"/>
      </w:r>
    </w:p>
    <w:p w14:paraId="6C5C3892" w14:textId="4369E17B" w:rsidR="0033454E" w:rsidRPr="00BA00E1" w:rsidRDefault="0033454E" w:rsidP="0033454E">
      <w:pPr>
        <w:pStyle w:val="Heading2"/>
        <w:rPr>
          <w:color w:val="000000" w:themeColor="text1"/>
        </w:rPr>
      </w:pPr>
      <w:bookmarkStart w:id="33" w:name="_Toc481491435"/>
      <w:r w:rsidRPr="00BA00E1">
        <w:rPr>
          <w:color w:val="000000" w:themeColor="text1"/>
        </w:rPr>
        <w:lastRenderedPageBreak/>
        <w:t xml:space="preserve">4.1 </w:t>
      </w:r>
      <w:r w:rsidR="00E5589F">
        <w:rPr>
          <w:color w:val="000000" w:themeColor="text1"/>
        </w:rPr>
        <w:tab/>
      </w:r>
      <w:r w:rsidRPr="00BA00E1">
        <w:rPr>
          <w:color w:val="000000" w:themeColor="text1"/>
        </w:rPr>
        <w:t>Newly expressed proteins</w:t>
      </w:r>
      <w:bookmarkEnd w:id="33"/>
    </w:p>
    <w:p w14:paraId="28F322EA" w14:textId="77777777" w:rsidR="0033454E" w:rsidRPr="00BA00E1" w:rsidRDefault="0033454E" w:rsidP="0033454E">
      <w:pPr>
        <w:rPr>
          <w:rFonts w:cs="Arial"/>
          <w:color w:val="000000" w:themeColor="text1"/>
          <w:szCs w:val="22"/>
        </w:rPr>
      </w:pPr>
      <w:r w:rsidRPr="00BA00E1">
        <w:rPr>
          <w:rFonts w:cs="Arial"/>
          <w:color w:val="000000" w:themeColor="text1"/>
          <w:szCs w:val="22"/>
        </w:rPr>
        <w:t xml:space="preserve">In considering the safety of newly expressed proteins it is important to note that a large and diverse range of proteins are ingested as part of the normal human diet without any adverse effects, although a small number have the potential to impair health, e.g., because they are allergens or anti-nutrients </w:t>
      </w:r>
      <w:r>
        <w:rPr>
          <w:rFonts w:cs="Arial"/>
          <w:noProof/>
          <w:color w:val="000000" w:themeColor="text1"/>
          <w:szCs w:val="22"/>
        </w:rPr>
        <w:t>(Delaney et al. 2008)</w:t>
      </w:r>
      <w:r w:rsidRPr="00BA00E1">
        <w:rPr>
          <w:rFonts w:cs="Arial"/>
          <w:color w:val="000000" w:themeColor="text1"/>
          <w:szCs w:val="22"/>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newly expressed proteins in the organism as well as a detailed understanding of their biochemical function and phenotypic effects. It is also important to determine if the newly expressed proteins are expressed as expected, including whether any post-translational modifications have occurred.</w:t>
      </w:r>
    </w:p>
    <w:p w14:paraId="128F37D0" w14:textId="77777777" w:rsidR="0033454E" w:rsidRPr="00BA00E1" w:rsidRDefault="0033454E" w:rsidP="0033454E">
      <w:pPr>
        <w:rPr>
          <w:rFonts w:cs="Arial"/>
          <w:color w:val="000000" w:themeColor="text1"/>
          <w:szCs w:val="22"/>
        </w:rPr>
      </w:pPr>
    </w:p>
    <w:p w14:paraId="1B5CE102" w14:textId="77777777" w:rsidR="0033454E" w:rsidRPr="00BA00E1" w:rsidRDefault="0033454E" w:rsidP="0033454E">
      <w:pPr>
        <w:rPr>
          <w:rFonts w:cs="Arial"/>
          <w:color w:val="000000" w:themeColor="text1"/>
          <w:szCs w:val="22"/>
        </w:rPr>
      </w:pPr>
      <w:r w:rsidRPr="00BA00E1">
        <w:rPr>
          <w:rFonts w:cs="Arial"/>
          <w:color w:val="000000" w:themeColor="text1"/>
          <w:szCs w:val="22"/>
        </w:rPr>
        <w:t>Two types of proteins were considered:</w:t>
      </w:r>
    </w:p>
    <w:p w14:paraId="5530D747" w14:textId="77777777" w:rsidR="0033454E" w:rsidRPr="00BA00E1" w:rsidRDefault="0033454E" w:rsidP="0033454E">
      <w:pPr>
        <w:rPr>
          <w:rFonts w:cs="Arial"/>
          <w:color w:val="000000" w:themeColor="text1"/>
          <w:szCs w:val="22"/>
        </w:rPr>
      </w:pPr>
    </w:p>
    <w:p w14:paraId="4DBF988E" w14:textId="6146AE40" w:rsidR="0033454E" w:rsidRDefault="0033454E" w:rsidP="00E5589F">
      <w:pPr>
        <w:pStyle w:val="FSBullet1"/>
      </w:pPr>
      <w:r w:rsidRPr="00BA00E1">
        <w:t xml:space="preserve">The proteins expected to be directly produced as a result of the translation of the introduced genes. A number of different analyses were done to characterise these proteins and determine their </w:t>
      </w:r>
      <w:r w:rsidRPr="00BA00E1">
        <w:rPr>
          <w:i/>
        </w:rPr>
        <w:t>in planta</w:t>
      </w:r>
      <w:r w:rsidRPr="00BA00E1">
        <w:t xml:space="preserve"> expression.</w:t>
      </w:r>
    </w:p>
    <w:p w14:paraId="6F97B7F2" w14:textId="77777777" w:rsidR="00E5589F" w:rsidRPr="00AD4317" w:rsidRDefault="00E5589F" w:rsidP="00AD4317"/>
    <w:p w14:paraId="4A4C70A7" w14:textId="77777777" w:rsidR="0033454E" w:rsidRPr="009534F8" w:rsidRDefault="0033454E" w:rsidP="0033454E">
      <w:pPr>
        <w:pStyle w:val="FSBullet1"/>
        <w:rPr>
          <w:color w:val="000000" w:themeColor="text1"/>
        </w:rPr>
      </w:pPr>
      <w:r w:rsidRPr="00BA00E1">
        <w:rPr>
          <w:color w:val="000000" w:themeColor="text1"/>
        </w:rPr>
        <w:t xml:space="preserve">Those that may be </w:t>
      </w:r>
      <w:r w:rsidRPr="009534F8">
        <w:rPr>
          <w:color w:val="000000" w:themeColor="text1"/>
        </w:rPr>
        <w:t>potentially translated as a result of the creation of ORFs during the transformation process (see Section 3.4.4).</w:t>
      </w:r>
    </w:p>
    <w:p w14:paraId="718A942D" w14:textId="77777777" w:rsidR="0033454E" w:rsidRPr="009534F8" w:rsidRDefault="0033454E" w:rsidP="0033454E">
      <w:pPr>
        <w:pStyle w:val="Heading3"/>
      </w:pPr>
      <w:r w:rsidRPr="009534F8">
        <w:t>4.1.1</w:t>
      </w:r>
      <w:r w:rsidRPr="009534F8">
        <w:tab/>
        <w:t>PAT protein</w:t>
      </w:r>
    </w:p>
    <w:p w14:paraId="6C63768F" w14:textId="77777777" w:rsidR="0033454E" w:rsidRPr="009534F8"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b/>
          <w:color w:val="000000" w:themeColor="text1"/>
          <w:sz w:val="20"/>
          <w:szCs w:val="20"/>
          <w:lang w:eastAsia="en-GB" w:bidi="ar-SA"/>
        </w:rPr>
      </w:pPr>
      <w:r w:rsidRPr="009534F8">
        <w:rPr>
          <w:rFonts w:ascii="ArialMT" w:hAnsi="ArialMT" w:cs="ArialMT"/>
          <w:b/>
          <w:color w:val="000000" w:themeColor="text1"/>
          <w:sz w:val="20"/>
          <w:szCs w:val="20"/>
          <w:lang w:eastAsia="en-GB" w:bidi="ar-SA"/>
        </w:rPr>
        <w:t>Study submitted</w:t>
      </w:r>
    </w:p>
    <w:p w14:paraId="3EC841A9" w14:textId="77777777" w:rsidR="0033454E" w:rsidRPr="009534F8"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color w:val="000000" w:themeColor="text1"/>
          <w:sz w:val="20"/>
          <w:szCs w:val="20"/>
          <w:lang w:eastAsia="en-GB" w:bidi="ar-SA"/>
        </w:rPr>
      </w:pPr>
    </w:p>
    <w:p w14:paraId="238BD806" w14:textId="77777777" w:rsidR="0033454E" w:rsidRPr="009534F8"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sidRPr="009534F8">
        <w:rPr>
          <w:rFonts w:ascii="ArialMT" w:hAnsi="ArialMT" w:cs="ArialMT"/>
          <w:color w:val="000000" w:themeColor="text1"/>
          <w:sz w:val="20"/>
          <w:szCs w:val="20"/>
          <w:lang w:eastAsia="en-GB" w:bidi="ar-SA"/>
        </w:rPr>
        <w:t>2003</w:t>
      </w:r>
      <w:r w:rsidRPr="009534F8">
        <w:rPr>
          <w:rFonts w:ascii="ArialMT" w:hAnsi="ArialMT" w:cs="ArialMT"/>
          <w:sz w:val="20"/>
          <w:szCs w:val="20"/>
          <w:lang w:eastAsia="en-GB" w:bidi="ar-SA"/>
        </w:rPr>
        <w:t xml:space="preserve">. Description of the amino acid sequence of the PAT protein encoded from the </w:t>
      </w:r>
      <w:r w:rsidRPr="009534F8">
        <w:rPr>
          <w:rFonts w:ascii="Arial-ItalicMT" w:hAnsi="Arial-ItalicMT" w:cs="Arial-ItalicMT"/>
          <w:i/>
          <w:iCs/>
          <w:sz w:val="20"/>
          <w:szCs w:val="20"/>
          <w:lang w:eastAsia="en-GB" w:bidi="ar-SA"/>
        </w:rPr>
        <w:t xml:space="preserve">bar </w:t>
      </w:r>
      <w:r w:rsidRPr="009534F8">
        <w:rPr>
          <w:rFonts w:ascii="ArialMT" w:hAnsi="ArialMT" w:cs="ArialMT"/>
          <w:sz w:val="20"/>
          <w:szCs w:val="20"/>
          <w:lang w:eastAsia="en-GB" w:bidi="ar-SA"/>
        </w:rPr>
        <w:t>gene. Unpublished Bayer Crop Science Report. Document no.M-084188-01-2.</w:t>
      </w:r>
    </w:p>
    <w:p w14:paraId="46EB19AC" w14:textId="77777777" w:rsidR="0033454E" w:rsidRPr="009534F8" w:rsidRDefault="0033454E" w:rsidP="0033454E">
      <w:pPr>
        <w:rPr>
          <w:rFonts w:cs="Arial"/>
          <w:color w:val="000000" w:themeColor="text1"/>
          <w:szCs w:val="22"/>
        </w:rPr>
      </w:pPr>
    </w:p>
    <w:p w14:paraId="4444BDDE" w14:textId="77777777" w:rsidR="0033454E" w:rsidRPr="009534F8" w:rsidRDefault="0033454E" w:rsidP="0033454E">
      <w:pPr>
        <w:rPr>
          <w:rFonts w:cs="Arial"/>
          <w:iCs/>
          <w:color w:val="000000" w:themeColor="text1"/>
          <w:szCs w:val="22"/>
        </w:rPr>
      </w:pPr>
      <w:r w:rsidRPr="009534F8">
        <w:rPr>
          <w:rFonts w:cs="Arial"/>
          <w:color w:val="000000" w:themeColor="text1"/>
          <w:szCs w:val="22"/>
        </w:rPr>
        <w:t xml:space="preserve">The </w:t>
      </w:r>
      <w:r w:rsidRPr="009534F8">
        <w:rPr>
          <w:rFonts w:cs="Arial"/>
          <w:i/>
          <w:color w:val="000000" w:themeColor="text1"/>
          <w:szCs w:val="22"/>
        </w:rPr>
        <w:t>bar</w:t>
      </w:r>
      <w:r w:rsidRPr="009534F8">
        <w:rPr>
          <w:rFonts w:cs="Arial"/>
          <w:color w:val="000000" w:themeColor="text1"/>
          <w:szCs w:val="22"/>
        </w:rPr>
        <w:t xml:space="preserve"> gene from </w:t>
      </w:r>
      <w:r w:rsidRPr="009534F8">
        <w:rPr>
          <w:rFonts w:cs="Arial"/>
          <w:i/>
          <w:color w:val="000000" w:themeColor="text1"/>
          <w:szCs w:val="22"/>
        </w:rPr>
        <w:t>S. hygroscopicus</w:t>
      </w:r>
      <w:r w:rsidRPr="009534F8">
        <w:rPr>
          <w:rFonts w:cs="Arial"/>
          <w:color w:val="000000" w:themeColor="text1"/>
          <w:szCs w:val="22"/>
        </w:rPr>
        <w:t xml:space="preserve"> confers tolerance to the antibiotic called bialaphos </w:t>
      </w:r>
      <w:r>
        <w:rPr>
          <w:rFonts w:cs="Arial"/>
          <w:noProof/>
          <w:color w:val="000000" w:themeColor="text1"/>
          <w:szCs w:val="22"/>
        </w:rPr>
        <w:t>(Murakami et al. 1986)</w:t>
      </w:r>
      <w:r w:rsidRPr="009534F8">
        <w:rPr>
          <w:rFonts w:cs="Arial"/>
          <w:color w:val="000000" w:themeColor="text1"/>
          <w:szCs w:val="22"/>
        </w:rPr>
        <w:t xml:space="preserve"> that is also produced by </w:t>
      </w:r>
      <w:r w:rsidRPr="009534F8">
        <w:rPr>
          <w:rFonts w:cs="Arial"/>
          <w:i/>
          <w:color w:val="000000" w:themeColor="text1"/>
          <w:szCs w:val="22"/>
        </w:rPr>
        <w:t>S. hygroscopicus</w:t>
      </w:r>
      <w:r w:rsidRPr="009534F8">
        <w:rPr>
          <w:rFonts w:cs="Arial"/>
          <w:color w:val="000000" w:themeColor="text1"/>
          <w:szCs w:val="22"/>
        </w:rPr>
        <w:t xml:space="preserve"> i.e. the bacterium has evolved a mechanism to avoid the toxicity of its own product. Bialaphos, now also used as a non-selective herbicide, is a tripeptide comprising two L-alanine residues and an analogue of glutamate known as L-phosphinothricin (L-PPT) </w:t>
      </w:r>
      <w:r>
        <w:rPr>
          <w:rFonts w:cs="Arial"/>
          <w:noProof/>
          <w:color w:val="000000" w:themeColor="text1"/>
          <w:szCs w:val="22"/>
        </w:rPr>
        <w:t>(see Thompson et al. 1987)</w:t>
      </w:r>
      <w:r w:rsidRPr="009534F8">
        <w:rPr>
          <w:rFonts w:cs="Arial"/>
          <w:color w:val="000000" w:themeColor="text1"/>
          <w:szCs w:val="22"/>
        </w:rPr>
        <w:t xml:space="preserve"> more recently known also as glufosinate ammonium. Free L-PPT released from bialaphos by peptidases (or applied directly as a synthetic herbicide) inhibits glutamine synthetase which in turn leads to rapid accumulation of ammonia and subsequent cell death.</w:t>
      </w:r>
    </w:p>
    <w:p w14:paraId="1C34B415" w14:textId="77777777" w:rsidR="0033454E" w:rsidRPr="009534F8" w:rsidRDefault="0033454E" w:rsidP="0033454E">
      <w:pPr>
        <w:pStyle w:val="BodyText"/>
        <w:rPr>
          <w:rFonts w:cs="Arial"/>
          <w:i/>
          <w:color w:val="000000" w:themeColor="text1"/>
          <w:szCs w:val="22"/>
        </w:rPr>
      </w:pPr>
    </w:p>
    <w:p w14:paraId="2CED5994" w14:textId="77777777" w:rsidR="0033454E" w:rsidRPr="009534F8" w:rsidRDefault="0033454E" w:rsidP="0033454E">
      <w:pPr>
        <w:pStyle w:val="BodyText"/>
        <w:rPr>
          <w:rFonts w:cs="Arial"/>
          <w:i/>
          <w:color w:val="000000" w:themeColor="text1"/>
          <w:szCs w:val="22"/>
        </w:rPr>
      </w:pPr>
      <w:r w:rsidRPr="009534F8">
        <w:rPr>
          <w:rFonts w:cs="Arial"/>
          <w:color w:val="000000" w:themeColor="text1"/>
          <w:szCs w:val="22"/>
        </w:rPr>
        <w:t xml:space="preserve">The homologous polypeptide produced by both the </w:t>
      </w:r>
      <w:r w:rsidRPr="009534F8">
        <w:rPr>
          <w:rFonts w:cs="Arial"/>
          <w:i/>
          <w:color w:val="000000" w:themeColor="text1"/>
          <w:szCs w:val="22"/>
        </w:rPr>
        <w:t>bar</w:t>
      </w:r>
      <w:r w:rsidRPr="009534F8">
        <w:rPr>
          <w:rFonts w:cs="Arial"/>
          <w:color w:val="000000" w:themeColor="text1"/>
          <w:szCs w:val="22"/>
        </w:rPr>
        <w:t xml:space="preserve"> and </w:t>
      </w:r>
      <w:r w:rsidRPr="009534F8">
        <w:rPr>
          <w:rFonts w:cs="Arial"/>
          <w:i/>
          <w:color w:val="000000" w:themeColor="text1"/>
          <w:szCs w:val="22"/>
        </w:rPr>
        <w:t>pat</w:t>
      </w:r>
      <w:r w:rsidRPr="009534F8">
        <w:rPr>
          <w:rFonts w:cs="Arial"/>
          <w:color w:val="000000" w:themeColor="text1"/>
          <w:szCs w:val="22"/>
        </w:rPr>
        <w:t xml:space="preserve"> (from </w:t>
      </w:r>
      <w:r w:rsidRPr="009534F8">
        <w:rPr>
          <w:rFonts w:cs="Arial"/>
          <w:i/>
          <w:color w:val="000000" w:themeColor="text1"/>
          <w:szCs w:val="22"/>
        </w:rPr>
        <w:t>S. viridochromogenes</w:t>
      </w:r>
      <w:r w:rsidRPr="009534F8">
        <w:rPr>
          <w:rFonts w:cs="Arial"/>
          <w:color w:val="000000" w:themeColor="text1"/>
          <w:szCs w:val="22"/>
        </w:rPr>
        <w:t xml:space="preserve">) genes (see Section 3.2.1) is known as phosphinothricin acetyltransferase (PAT); it is an acetyl transferase with enzyme specificity for both L-PPT and demethylphosphinothricin (DMPT) in the acetylation reaction (Thompson et al., 1987). In the presence of acetyl-Coenzyme A (CoA), PAT catalyses the acetylation of the free amino group of L-PPT to N-acetyl-L-PPT, a herbicidally-inactive compound. The kinetics and substrate specificity of the PAT enzyme are well characterised; it has a high specificity for L-PPT and has been shown to have a very low affinity to related compounds and amino acids; even excess glutamate is unable to block the L-PPT-acetyltransferase reaction </w:t>
      </w:r>
      <w:r>
        <w:rPr>
          <w:rFonts w:cs="Arial"/>
          <w:noProof/>
          <w:color w:val="000000" w:themeColor="text1"/>
          <w:szCs w:val="22"/>
        </w:rPr>
        <w:t>(Thompson et al. 1987)</w:t>
      </w:r>
      <w:r w:rsidRPr="009534F8">
        <w:rPr>
          <w:rFonts w:cs="Arial"/>
          <w:color w:val="000000" w:themeColor="text1"/>
          <w:szCs w:val="22"/>
        </w:rPr>
        <w:t>. The proteins from the two different sources have a sequence identity of 85%</w:t>
      </w:r>
    </w:p>
    <w:p w14:paraId="28925557" w14:textId="77777777" w:rsidR="0033454E" w:rsidRPr="009534F8" w:rsidRDefault="0033454E" w:rsidP="0033454E">
      <w:pPr>
        <w:rPr>
          <w:color w:val="000000" w:themeColor="text1"/>
        </w:rPr>
      </w:pPr>
    </w:p>
    <w:p w14:paraId="10E0A487" w14:textId="50A7DC5F" w:rsidR="0093373F" w:rsidRDefault="0033454E" w:rsidP="0033454E">
      <w:pPr>
        <w:rPr>
          <w:color w:val="000000" w:themeColor="text1"/>
        </w:rPr>
      </w:pPr>
      <w:r w:rsidRPr="009534F8">
        <w:rPr>
          <w:color w:val="000000" w:themeColor="text1"/>
        </w:rPr>
        <w:t xml:space="preserve">A translation of the DNA sequence of the </w:t>
      </w:r>
      <w:r w:rsidRPr="009534F8">
        <w:rPr>
          <w:i/>
          <w:color w:val="000000" w:themeColor="text1"/>
        </w:rPr>
        <w:t xml:space="preserve">bar </w:t>
      </w:r>
      <w:r w:rsidRPr="009534F8">
        <w:rPr>
          <w:color w:val="000000" w:themeColor="text1"/>
        </w:rPr>
        <w:t xml:space="preserve">gene in the MS11 insert gives a protein comprising 183 amino acids with a calculated molecular weight of 20.67 kDa. As noted in Section 3.2.1, the second codon – AGC (serine) has been modified to a GAC (aspartate) codon </w:t>
      </w:r>
      <w:r>
        <w:rPr>
          <w:noProof/>
          <w:color w:val="000000" w:themeColor="text1"/>
        </w:rPr>
        <w:t>(Botterman et al. 1991)</w:t>
      </w:r>
      <w:r w:rsidRPr="009534F8">
        <w:rPr>
          <w:color w:val="000000" w:themeColor="text1"/>
        </w:rPr>
        <w:t>.</w:t>
      </w:r>
      <w:r w:rsidR="0093373F">
        <w:rPr>
          <w:color w:val="000000" w:themeColor="text1"/>
        </w:rPr>
        <w:br w:type="page"/>
      </w:r>
    </w:p>
    <w:p w14:paraId="1514922F" w14:textId="77777777" w:rsidR="0033454E" w:rsidRDefault="0033454E" w:rsidP="0033454E">
      <w:pPr>
        <w:pStyle w:val="Heading3"/>
      </w:pPr>
      <w:r>
        <w:lastRenderedPageBreak/>
        <w:t>4.1.2</w:t>
      </w:r>
      <w:r>
        <w:tab/>
        <w:t>Barnase</w:t>
      </w:r>
      <w:r w:rsidRPr="001B5342">
        <w:t xml:space="preserve"> </w:t>
      </w:r>
      <w:r>
        <w:t xml:space="preserve">and Barstar </w:t>
      </w:r>
      <w:r w:rsidRPr="001B5342">
        <w:t>protein</w:t>
      </w:r>
      <w:r>
        <w:t>s</w:t>
      </w:r>
    </w:p>
    <w:p w14:paraId="5138BEF5" w14:textId="77777777" w:rsidR="0033454E" w:rsidRPr="00DE767A" w:rsidRDefault="0033454E" w:rsidP="0033454E">
      <w:pPr>
        <w:pBdr>
          <w:top w:val="single" w:sz="4" w:space="1" w:color="auto"/>
          <w:left w:val="single" w:sz="4" w:space="4" w:color="auto"/>
          <w:bottom w:val="single" w:sz="4" w:space="1" w:color="auto"/>
          <w:right w:val="single" w:sz="4" w:space="4" w:color="auto"/>
        </w:pBdr>
        <w:rPr>
          <w:b/>
          <w:color w:val="000000" w:themeColor="text1"/>
          <w:sz w:val="20"/>
          <w:szCs w:val="20"/>
        </w:rPr>
      </w:pPr>
      <w:r w:rsidRPr="00DE767A">
        <w:rPr>
          <w:b/>
          <w:color w:val="000000" w:themeColor="text1"/>
          <w:sz w:val="20"/>
          <w:szCs w:val="20"/>
        </w:rPr>
        <w:t>Studies submitted:</w:t>
      </w:r>
    </w:p>
    <w:p w14:paraId="0902AB74" w14:textId="77777777" w:rsidR="0033454E" w:rsidRPr="00DE767A"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p>
    <w:p w14:paraId="46782A93"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2004. The </w:t>
      </w:r>
      <w:r>
        <w:rPr>
          <w:rFonts w:ascii="Arial-ItalicMT" w:hAnsi="Arial-ItalicMT" w:cs="Arial-ItalicMT"/>
          <w:i/>
          <w:iCs/>
          <w:sz w:val="20"/>
          <w:szCs w:val="20"/>
          <w:lang w:eastAsia="en-GB" w:bidi="ar-SA"/>
        </w:rPr>
        <w:t xml:space="preserve">barnase </w:t>
      </w:r>
      <w:r>
        <w:rPr>
          <w:rFonts w:ascii="ArialMT" w:hAnsi="ArialMT" w:cs="ArialMT"/>
          <w:sz w:val="20"/>
          <w:szCs w:val="20"/>
          <w:lang w:eastAsia="en-GB" w:bidi="ar-SA"/>
        </w:rPr>
        <w:t xml:space="preserve">and </w:t>
      </w:r>
      <w:r>
        <w:rPr>
          <w:rFonts w:ascii="Arial-ItalicMT" w:hAnsi="Arial-ItalicMT" w:cs="Arial-ItalicMT"/>
          <w:i/>
          <w:iCs/>
          <w:sz w:val="20"/>
          <w:szCs w:val="20"/>
          <w:lang w:eastAsia="en-GB" w:bidi="ar-SA"/>
        </w:rPr>
        <w:t xml:space="preserve">barstar </w:t>
      </w:r>
      <w:r>
        <w:rPr>
          <w:rFonts w:ascii="ArialMT" w:hAnsi="ArialMT" w:cs="ArialMT"/>
          <w:sz w:val="20"/>
          <w:szCs w:val="20"/>
          <w:lang w:eastAsia="en-GB" w:bidi="ar-SA"/>
        </w:rPr>
        <w:t>gene products: Barnase and Barstar Description and Characterization. Unpublished Bayer CropScience Report. M-226785-01-1.2015.</w:t>
      </w:r>
    </w:p>
    <w:p w14:paraId="0B063467"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2009. Barnase and barstar proteins - History of safe use. Unpublished Bayer Crop Science Report. Document no. M-355152-01-1.</w:t>
      </w:r>
    </w:p>
    <w:p w14:paraId="08151595"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2003. Description of the amino acid sequence of the Barnase protein. Unpublished Bayer Crop Science Report. Document no. M-232685-01-1.</w:t>
      </w:r>
    </w:p>
    <w:p w14:paraId="2BE9B784"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2003. Description of the amino acid sequence of the Barstar protein. Unpublished Bayer Crop Science Report. Document no. M-232692-01-1.</w:t>
      </w:r>
    </w:p>
    <w:p w14:paraId="40321A3F" w14:textId="77777777" w:rsidR="0033454E" w:rsidRPr="0014042F" w:rsidRDefault="0033454E" w:rsidP="0033454E">
      <w:pPr>
        <w:rPr>
          <w:lang w:eastAsia="en-AU" w:bidi="ar-SA"/>
        </w:rPr>
      </w:pPr>
    </w:p>
    <w:p w14:paraId="5D25ADD0" w14:textId="77777777" w:rsidR="0033454E" w:rsidRPr="009B0DB6" w:rsidRDefault="0033454E" w:rsidP="0033454E">
      <w:pPr>
        <w:rPr>
          <w:rFonts w:cs="Arial"/>
          <w:szCs w:val="22"/>
          <w:lang w:eastAsia="en-AU" w:bidi="ar-SA"/>
        </w:rPr>
      </w:pPr>
      <w:r>
        <w:rPr>
          <w:lang w:eastAsia="en-AU" w:bidi="ar-SA"/>
        </w:rPr>
        <w:t xml:space="preserve">A brief description of the function and effects of these two proteins has been given in   </w:t>
      </w:r>
      <w:r w:rsidRPr="009534F8">
        <w:rPr>
          <w:lang w:eastAsia="en-AU" w:bidi="ar-SA"/>
        </w:rPr>
        <w:t>Section 1. In</w:t>
      </w:r>
      <w:r>
        <w:rPr>
          <w:lang w:eastAsia="en-AU" w:bidi="ar-SA"/>
        </w:rPr>
        <w:t xml:space="preserve"> the native host (</w:t>
      </w:r>
      <w:r w:rsidRPr="00477651">
        <w:rPr>
          <w:i/>
          <w:lang w:eastAsia="en-AU" w:bidi="ar-SA"/>
        </w:rPr>
        <w:t>B. amyloliquefaciens</w:t>
      </w:r>
      <w:r>
        <w:rPr>
          <w:lang w:eastAsia="en-AU" w:bidi="ar-SA"/>
        </w:rPr>
        <w:t xml:space="preserve">), Barnase is produced within the cell and then secreted to the outside where it is probably used to allow scavenging of nucleotides from RNAs found in the environment </w:t>
      </w:r>
      <w:r>
        <w:rPr>
          <w:noProof/>
          <w:lang w:eastAsia="en-AU" w:bidi="ar-SA"/>
        </w:rPr>
        <w:t>(Condon and Putzer 2002)</w:t>
      </w:r>
      <w:r>
        <w:rPr>
          <w:lang w:eastAsia="en-AU" w:bidi="ar-SA"/>
        </w:rPr>
        <w:t xml:space="preserve">. In order to prevent its own RNA from being destroyed before the Barnase has been secreted, the host produces the </w:t>
      </w:r>
      <w:r w:rsidRPr="009B0DB6">
        <w:rPr>
          <w:rFonts w:cs="Arial"/>
          <w:szCs w:val="22"/>
          <w:lang w:eastAsia="en-AU" w:bidi="ar-SA"/>
        </w:rPr>
        <w:t xml:space="preserve">inhibitor Barstar. One molecule of Barstar binds tightly to one molecule of Barnase thereby abolishing its ribonuclease activity </w:t>
      </w:r>
      <w:r>
        <w:rPr>
          <w:rFonts w:cs="Arial"/>
          <w:noProof/>
          <w:szCs w:val="22"/>
          <w:lang w:eastAsia="en-AU" w:bidi="ar-SA"/>
        </w:rPr>
        <w:t>(Hartley and Smeaton 1973)</w:t>
      </w:r>
      <w:r w:rsidRPr="009B0DB6">
        <w:rPr>
          <w:rFonts w:cs="Arial"/>
          <w:szCs w:val="22"/>
          <w:lang w:eastAsia="en-AU" w:bidi="ar-SA"/>
        </w:rPr>
        <w:t xml:space="preserve">. Barstar does this by mimicking the RNA substrate at the phosphate binding site of Barnase </w:t>
      </w:r>
      <w:r>
        <w:rPr>
          <w:rFonts w:cs="Arial"/>
          <w:noProof/>
          <w:szCs w:val="22"/>
          <w:lang w:eastAsia="en-AU" w:bidi="ar-SA"/>
        </w:rPr>
        <w:t>(Guillet et al. 1993)</w:t>
      </w:r>
      <w:r w:rsidRPr="009B0DB6">
        <w:rPr>
          <w:rFonts w:cs="Arial"/>
          <w:szCs w:val="22"/>
          <w:lang w:eastAsia="en-AU" w:bidi="ar-SA"/>
        </w:rPr>
        <w:t>.</w:t>
      </w:r>
    </w:p>
    <w:p w14:paraId="0989F6FB" w14:textId="77777777" w:rsidR="0033454E" w:rsidRPr="009B0DB6" w:rsidRDefault="0033454E" w:rsidP="0033454E">
      <w:pPr>
        <w:rPr>
          <w:rFonts w:cs="Arial"/>
          <w:szCs w:val="22"/>
          <w:lang w:eastAsia="en-AU" w:bidi="ar-SA"/>
        </w:rPr>
      </w:pPr>
    </w:p>
    <w:p w14:paraId="0CD4BCAD" w14:textId="67F8B0E7" w:rsidR="0033454E" w:rsidRDefault="0033454E" w:rsidP="0033454E">
      <w:pPr>
        <w:widowControl/>
        <w:autoSpaceDE w:val="0"/>
        <w:autoSpaceDN w:val="0"/>
        <w:adjustRightInd w:val="0"/>
        <w:rPr>
          <w:rFonts w:cs="Arial"/>
          <w:szCs w:val="22"/>
          <w:lang w:eastAsia="en-GB" w:bidi="ar-SA"/>
        </w:rPr>
      </w:pPr>
      <w:r w:rsidRPr="009B0DB6">
        <w:rPr>
          <w:rFonts w:cs="Arial"/>
          <w:szCs w:val="22"/>
          <w:lang w:eastAsia="en-GB" w:bidi="ar-SA"/>
        </w:rPr>
        <w:t>Barnase and Barstar</w:t>
      </w:r>
      <w:r>
        <w:rPr>
          <w:rFonts w:cs="Arial"/>
          <w:szCs w:val="22"/>
          <w:lang w:eastAsia="en-GB" w:bidi="ar-SA"/>
        </w:rPr>
        <w:t xml:space="preserve"> have been utilis</w:t>
      </w:r>
      <w:r w:rsidRPr="009B0DB6">
        <w:rPr>
          <w:rFonts w:cs="Arial"/>
          <w:szCs w:val="22"/>
          <w:lang w:eastAsia="en-GB" w:bidi="ar-SA"/>
        </w:rPr>
        <w:t xml:space="preserve">ed in direct agronomic application to allow male sterility and restoration of fertility </w:t>
      </w:r>
      <w:r w:rsidR="00D244D3">
        <w:rPr>
          <w:rFonts w:cs="Arial"/>
          <w:szCs w:val="22"/>
          <w:lang w:eastAsia="en-GB" w:bidi="ar-SA"/>
        </w:rPr>
        <w:t xml:space="preserve">(see discussion in Section 1) </w:t>
      </w:r>
      <w:r w:rsidRPr="009B0DB6">
        <w:rPr>
          <w:rFonts w:cs="Arial"/>
          <w:szCs w:val="22"/>
          <w:lang w:eastAsia="en-GB" w:bidi="ar-SA"/>
        </w:rPr>
        <w:t>and, for example, hybrid GM canola varieties engineered with this t</w:t>
      </w:r>
      <w:r>
        <w:rPr>
          <w:rFonts w:cs="Arial"/>
          <w:szCs w:val="22"/>
          <w:lang w:eastAsia="en-GB" w:bidi="ar-SA"/>
        </w:rPr>
        <w:t>echnology have been commercialis</w:t>
      </w:r>
      <w:r w:rsidRPr="009B0DB6">
        <w:rPr>
          <w:rFonts w:cs="Arial"/>
          <w:szCs w:val="22"/>
          <w:lang w:eastAsia="en-GB" w:bidi="ar-SA"/>
        </w:rPr>
        <w:t>ed since 1996</w:t>
      </w:r>
      <w:r>
        <w:rPr>
          <w:rFonts w:cs="Arial"/>
          <w:szCs w:val="22"/>
          <w:lang w:eastAsia="en-GB" w:bidi="ar-SA"/>
        </w:rPr>
        <w:t xml:space="preserve">. In the fertility restorer line (RF3) that is intended to be crossed with MS11 </w:t>
      </w:r>
      <w:r>
        <w:rPr>
          <w:noProof/>
          <w:color w:val="000000" w:themeColor="text1"/>
          <w:szCs w:val="22"/>
        </w:rPr>
        <w:t>(FSANZ 2002)</w:t>
      </w:r>
      <w:r>
        <w:rPr>
          <w:rFonts w:cs="Arial"/>
          <w:szCs w:val="22"/>
          <w:lang w:eastAsia="en-GB" w:bidi="ar-SA"/>
        </w:rPr>
        <w:t xml:space="preserve">, the </w:t>
      </w:r>
      <w:r w:rsidRPr="00E53762">
        <w:rPr>
          <w:rFonts w:cs="Arial"/>
          <w:i/>
          <w:szCs w:val="22"/>
          <w:lang w:eastAsia="en-GB" w:bidi="ar-SA"/>
        </w:rPr>
        <w:t>barstar</w:t>
      </w:r>
      <w:r>
        <w:rPr>
          <w:rFonts w:cs="Arial"/>
          <w:szCs w:val="22"/>
          <w:lang w:eastAsia="en-GB" w:bidi="ar-SA"/>
        </w:rPr>
        <w:t xml:space="preserve"> gene has the same tapetum-specific promoter (ta29) as the </w:t>
      </w:r>
      <w:r w:rsidRPr="00E53762">
        <w:rPr>
          <w:rFonts w:cs="Arial"/>
          <w:i/>
          <w:szCs w:val="22"/>
          <w:lang w:eastAsia="en-GB" w:bidi="ar-SA"/>
        </w:rPr>
        <w:t>barnase</w:t>
      </w:r>
      <w:r>
        <w:rPr>
          <w:rFonts w:cs="Arial"/>
          <w:szCs w:val="22"/>
          <w:lang w:eastAsia="en-GB" w:bidi="ar-SA"/>
        </w:rPr>
        <w:t xml:space="preserve"> gene in MS11 thereby ensuring expression of the two proteins (and formation of a Barnase/Barstar complex) in the tapetum cells of the hybrid.</w:t>
      </w:r>
    </w:p>
    <w:p w14:paraId="5856E2E2" w14:textId="77777777" w:rsidR="0033454E" w:rsidRDefault="0033454E" w:rsidP="0033454E">
      <w:pPr>
        <w:widowControl/>
        <w:autoSpaceDE w:val="0"/>
        <w:autoSpaceDN w:val="0"/>
        <w:adjustRightInd w:val="0"/>
        <w:rPr>
          <w:rFonts w:cs="Arial"/>
          <w:szCs w:val="22"/>
          <w:lang w:eastAsia="en-GB" w:bidi="ar-SA"/>
        </w:rPr>
      </w:pPr>
    </w:p>
    <w:p w14:paraId="184ACE1F" w14:textId="77777777" w:rsidR="0033454E" w:rsidRDefault="0033454E" w:rsidP="0033454E">
      <w:pPr>
        <w:widowControl/>
        <w:autoSpaceDE w:val="0"/>
        <w:autoSpaceDN w:val="0"/>
        <w:adjustRightInd w:val="0"/>
        <w:rPr>
          <w:rFonts w:cs="Arial"/>
          <w:szCs w:val="22"/>
          <w:lang w:eastAsia="en-GB" w:bidi="ar-SA"/>
        </w:rPr>
      </w:pPr>
      <w:r w:rsidRPr="00C30017">
        <w:rPr>
          <w:rFonts w:cs="Arial"/>
          <w:szCs w:val="22"/>
          <w:lang w:eastAsia="en-GB" w:bidi="ar-SA"/>
        </w:rPr>
        <w:t xml:space="preserve">In MS11, Barstar has been used to inhibit </w:t>
      </w:r>
      <w:r>
        <w:rPr>
          <w:rFonts w:cs="Arial"/>
          <w:szCs w:val="22"/>
          <w:lang w:eastAsia="en-GB" w:bidi="ar-SA"/>
        </w:rPr>
        <w:t xml:space="preserve">inadvertent </w:t>
      </w:r>
      <w:r w:rsidRPr="00C30017">
        <w:rPr>
          <w:rFonts w:cs="Arial"/>
          <w:szCs w:val="22"/>
          <w:lang w:eastAsia="en-GB" w:bidi="ar-SA"/>
        </w:rPr>
        <w:t xml:space="preserve">Barnase </w:t>
      </w:r>
      <w:r>
        <w:rPr>
          <w:rFonts w:cs="Arial"/>
          <w:szCs w:val="22"/>
          <w:lang w:eastAsia="en-GB" w:bidi="ar-SA"/>
        </w:rPr>
        <w:t xml:space="preserve">expression </w:t>
      </w:r>
      <w:r w:rsidRPr="00C30017">
        <w:rPr>
          <w:rFonts w:cs="Arial"/>
          <w:szCs w:val="22"/>
          <w:lang w:eastAsia="en-GB" w:bidi="ar-SA"/>
        </w:rPr>
        <w:t xml:space="preserve">in tissues other than tapetal cells (see discussion </w:t>
      </w:r>
      <w:r w:rsidRPr="009534F8">
        <w:rPr>
          <w:rFonts w:cs="Arial"/>
          <w:szCs w:val="22"/>
          <w:lang w:eastAsia="en-GB" w:bidi="ar-SA"/>
        </w:rPr>
        <w:t>in Section 1).</w:t>
      </w:r>
    </w:p>
    <w:p w14:paraId="08D242D2" w14:textId="77777777" w:rsidR="0033454E" w:rsidRPr="009B0DB6" w:rsidRDefault="0033454E" w:rsidP="0033454E">
      <w:pPr>
        <w:widowControl/>
        <w:autoSpaceDE w:val="0"/>
        <w:autoSpaceDN w:val="0"/>
        <w:adjustRightInd w:val="0"/>
        <w:rPr>
          <w:rFonts w:cs="Arial"/>
          <w:szCs w:val="22"/>
          <w:lang w:eastAsia="en-GB" w:bidi="ar-SA"/>
        </w:rPr>
      </w:pPr>
    </w:p>
    <w:p w14:paraId="055A37AD" w14:textId="77777777" w:rsidR="0033454E" w:rsidRPr="005B347F" w:rsidRDefault="0033454E" w:rsidP="0033454E">
      <w:pPr>
        <w:widowControl/>
        <w:autoSpaceDE w:val="0"/>
        <w:autoSpaceDN w:val="0"/>
        <w:adjustRightInd w:val="0"/>
        <w:rPr>
          <w:rFonts w:cs="Arial"/>
          <w:color w:val="000000"/>
          <w:szCs w:val="22"/>
          <w:lang w:eastAsia="en-GB" w:bidi="ar-SA"/>
        </w:rPr>
      </w:pPr>
      <w:r w:rsidRPr="009B0DB6">
        <w:rPr>
          <w:rFonts w:cs="Arial"/>
          <w:color w:val="000000" w:themeColor="text1"/>
          <w:szCs w:val="22"/>
        </w:rPr>
        <w:t xml:space="preserve">A </w:t>
      </w:r>
      <w:r>
        <w:rPr>
          <w:rFonts w:cs="Arial"/>
          <w:color w:val="000000" w:themeColor="text1"/>
          <w:szCs w:val="22"/>
        </w:rPr>
        <w:t>translation of the DNA sequence</w:t>
      </w:r>
      <w:r w:rsidRPr="005B347F">
        <w:rPr>
          <w:rFonts w:cs="Arial"/>
          <w:color w:val="000000" w:themeColor="text1"/>
          <w:szCs w:val="22"/>
        </w:rPr>
        <w:t xml:space="preserve"> of the </w:t>
      </w:r>
      <w:r w:rsidRPr="005B347F">
        <w:rPr>
          <w:rFonts w:cs="Arial"/>
          <w:i/>
          <w:color w:val="000000" w:themeColor="text1"/>
          <w:szCs w:val="22"/>
        </w:rPr>
        <w:t xml:space="preserve">barnase </w:t>
      </w:r>
      <w:r w:rsidRPr="005B347F">
        <w:rPr>
          <w:rFonts w:cs="Arial"/>
          <w:color w:val="000000" w:themeColor="text1"/>
          <w:szCs w:val="22"/>
        </w:rPr>
        <w:t xml:space="preserve">gene in the MS11 insert gives a protein comprising 111 amino acids with a calculated molecular weight of 12.51 kDa. </w:t>
      </w:r>
      <w:r w:rsidRPr="005B347F">
        <w:rPr>
          <w:rFonts w:cs="Arial"/>
          <w:color w:val="000000"/>
          <w:szCs w:val="22"/>
          <w:lang w:eastAsia="en-GB" w:bidi="ar-SA"/>
        </w:rPr>
        <w:t xml:space="preserve">The amino acid sequence of the plant-produced protein differs from the native barnase protein isolated from </w:t>
      </w:r>
      <w:r w:rsidRPr="005B347F">
        <w:rPr>
          <w:rFonts w:cs="Arial"/>
          <w:i/>
          <w:iCs/>
          <w:color w:val="000000"/>
          <w:szCs w:val="22"/>
          <w:lang w:eastAsia="en-GB" w:bidi="ar-SA"/>
        </w:rPr>
        <w:t xml:space="preserve">Bacillus amyloliquefaciens </w:t>
      </w:r>
      <w:r w:rsidRPr="005B347F">
        <w:rPr>
          <w:rFonts w:cs="Arial"/>
          <w:color w:val="000000"/>
          <w:szCs w:val="22"/>
          <w:lang w:eastAsia="en-GB" w:bidi="ar-SA"/>
        </w:rPr>
        <w:t>by the addition of a methionine (Asp718 site) in the start codon followed by substituting alanine and glutamine for valine and proline respectively.</w:t>
      </w:r>
    </w:p>
    <w:p w14:paraId="7116A2F7" w14:textId="77777777" w:rsidR="0033454E" w:rsidRPr="005B347F" w:rsidRDefault="0033454E" w:rsidP="0033454E">
      <w:pPr>
        <w:widowControl/>
        <w:autoSpaceDE w:val="0"/>
        <w:autoSpaceDN w:val="0"/>
        <w:adjustRightInd w:val="0"/>
        <w:rPr>
          <w:rFonts w:cs="Arial"/>
          <w:color w:val="000000"/>
          <w:szCs w:val="22"/>
          <w:lang w:eastAsia="en-GB" w:bidi="ar-SA"/>
        </w:rPr>
      </w:pPr>
    </w:p>
    <w:p w14:paraId="0C76C3A3" w14:textId="77777777" w:rsidR="0033454E" w:rsidRPr="009B0DB6" w:rsidRDefault="0033454E" w:rsidP="0033454E">
      <w:pPr>
        <w:widowControl/>
        <w:autoSpaceDE w:val="0"/>
        <w:autoSpaceDN w:val="0"/>
        <w:adjustRightInd w:val="0"/>
        <w:rPr>
          <w:rFonts w:cs="Arial"/>
          <w:color w:val="000000"/>
          <w:szCs w:val="22"/>
          <w:lang w:eastAsia="en-GB" w:bidi="ar-SA"/>
        </w:rPr>
      </w:pPr>
      <w:r w:rsidRPr="005B347F">
        <w:rPr>
          <w:rFonts w:cs="Arial"/>
          <w:color w:val="000000" w:themeColor="text1"/>
          <w:szCs w:val="22"/>
        </w:rPr>
        <w:t>A trans</w:t>
      </w:r>
      <w:r>
        <w:rPr>
          <w:rFonts w:cs="Arial"/>
          <w:color w:val="000000" w:themeColor="text1"/>
          <w:szCs w:val="22"/>
        </w:rPr>
        <w:t>lation of the DNA sequence</w:t>
      </w:r>
      <w:r w:rsidRPr="009B0DB6">
        <w:rPr>
          <w:rFonts w:cs="Arial"/>
          <w:color w:val="000000" w:themeColor="text1"/>
          <w:szCs w:val="22"/>
        </w:rPr>
        <w:t xml:space="preserve"> of the </w:t>
      </w:r>
      <w:r w:rsidRPr="009B0DB6">
        <w:rPr>
          <w:rFonts w:cs="Arial"/>
          <w:i/>
          <w:color w:val="000000" w:themeColor="text1"/>
          <w:szCs w:val="22"/>
        </w:rPr>
        <w:t xml:space="preserve">barstar </w:t>
      </w:r>
      <w:r w:rsidRPr="009B0DB6">
        <w:rPr>
          <w:rFonts w:cs="Arial"/>
          <w:color w:val="000000" w:themeColor="text1"/>
          <w:szCs w:val="22"/>
        </w:rPr>
        <w:t xml:space="preserve">gene in the MS11 insert gives a protein comprising </w:t>
      </w:r>
      <w:r>
        <w:rPr>
          <w:rFonts w:cs="Arial"/>
          <w:color w:val="000000" w:themeColor="text1"/>
          <w:szCs w:val="22"/>
        </w:rPr>
        <w:t>90</w:t>
      </w:r>
      <w:r w:rsidRPr="009B0DB6">
        <w:rPr>
          <w:rFonts w:cs="Arial"/>
          <w:color w:val="000000" w:themeColor="text1"/>
          <w:szCs w:val="22"/>
        </w:rPr>
        <w:t xml:space="preserve"> amino acids with a calculated molecular weight of </w:t>
      </w:r>
      <w:r>
        <w:rPr>
          <w:rFonts w:cs="Arial"/>
          <w:color w:val="000000" w:themeColor="text1"/>
          <w:szCs w:val="22"/>
        </w:rPr>
        <w:t>10.34</w:t>
      </w:r>
      <w:r w:rsidRPr="009B0DB6">
        <w:rPr>
          <w:rFonts w:cs="Arial"/>
          <w:color w:val="000000" w:themeColor="text1"/>
          <w:szCs w:val="22"/>
        </w:rPr>
        <w:t xml:space="preserve"> kDa.</w:t>
      </w:r>
    </w:p>
    <w:p w14:paraId="433BF8E4" w14:textId="77777777" w:rsidR="0033454E" w:rsidRDefault="0033454E" w:rsidP="0033454E">
      <w:pPr>
        <w:pStyle w:val="Heading3"/>
      </w:pPr>
      <w:r w:rsidRPr="001B5342">
        <w:t>4.1.3</w:t>
      </w:r>
      <w:r w:rsidRPr="001B5342">
        <w:tab/>
        <w:t>Protein e</w:t>
      </w:r>
      <w:r>
        <w:t>xpression in the tissues of MS11</w:t>
      </w:r>
    </w:p>
    <w:p w14:paraId="6EC810E7" w14:textId="77777777" w:rsidR="0033454E" w:rsidRPr="009534F8" w:rsidRDefault="0033454E" w:rsidP="0033454E">
      <w:pPr>
        <w:rPr>
          <w:lang w:eastAsia="en-AU" w:bidi="ar-SA"/>
        </w:rPr>
      </w:pPr>
      <w:r>
        <w:rPr>
          <w:lang w:eastAsia="en-AU" w:bidi="ar-SA"/>
        </w:rPr>
        <w:t>Since MS11 is not intended to be a stand-alone line from which food will be produced but will be crossed with the GM fertility restorer line RF3 (</w:t>
      </w:r>
      <w:r w:rsidRPr="009534F8">
        <w:rPr>
          <w:lang w:eastAsia="en-AU" w:bidi="ar-SA"/>
        </w:rPr>
        <w:t>see Section 1) the Applicant carried out protein expression analyses on MS11, RF3, and MS11 x RF3 plants.</w:t>
      </w:r>
    </w:p>
    <w:p w14:paraId="0C3D521A" w14:textId="77777777" w:rsidR="0033454E" w:rsidRPr="009534F8" w:rsidRDefault="0033454E" w:rsidP="0033454E">
      <w:pPr>
        <w:rPr>
          <w:lang w:eastAsia="en-AU" w:bidi="ar-SA"/>
        </w:rPr>
      </w:pPr>
    </w:p>
    <w:p w14:paraId="27835D61" w14:textId="77777777" w:rsidR="0033454E" w:rsidRPr="009534F8" w:rsidRDefault="0033454E" w:rsidP="0033454E">
      <w:pPr>
        <w:pBdr>
          <w:top w:val="single" w:sz="4" w:space="1" w:color="auto"/>
          <w:left w:val="single" w:sz="4" w:space="4" w:color="auto"/>
          <w:bottom w:val="single" w:sz="4" w:space="1" w:color="auto"/>
          <w:right w:val="single" w:sz="4" w:space="4" w:color="auto"/>
        </w:pBdr>
        <w:rPr>
          <w:b/>
          <w:color w:val="000000" w:themeColor="text1"/>
          <w:sz w:val="20"/>
          <w:szCs w:val="20"/>
        </w:rPr>
      </w:pPr>
      <w:r w:rsidRPr="009534F8">
        <w:rPr>
          <w:b/>
          <w:color w:val="000000" w:themeColor="text1"/>
          <w:sz w:val="20"/>
          <w:szCs w:val="20"/>
        </w:rPr>
        <w:t>Studies submitted:</w:t>
      </w:r>
    </w:p>
    <w:p w14:paraId="75A212F9" w14:textId="77777777" w:rsidR="0033454E" w:rsidRPr="009534F8"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p>
    <w:p w14:paraId="65BED842" w14:textId="77777777" w:rsidR="0033454E" w:rsidRPr="009534F8"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color w:val="000000" w:themeColor="text1"/>
          <w:sz w:val="20"/>
          <w:szCs w:val="20"/>
          <w:lang w:eastAsia="en-GB" w:bidi="ar-SA"/>
        </w:rPr>
      </w:pPr>
      <w:r w:rsidRPr="009534F8">
        <w:rPr>
          <w:rFonts w:ascii="ArialMT" w:hAnsi="ArialMT" w:cs="ArialMT"/>
          <w:color w:val="000000" w:themeColor="text1"/>
          <w:sz w:val="20"/>
          <w:szCs w:val="20"/>
          <w:lang w:eastAsia="en-GB" w:bidi="ar-SA"/>
        </w:rPr>
        <w:t xml:space="preserve">2015. MS11 </w:t>
      </w:r>
      <w:r w:rsidRPr="009534F8">
        <w:rPr>
          <w:rFonts w:ascii="Arial-ItalicMT" w:hAnsi="Arial-ItalicMT" w:cs="Arial-ItalicMT"/>
          <w:i/>
          <w:iCs/>
          <w:color w:val="000000" w:themeColor="text1"/>
          <w:sz w:val="20"/>
          <w:szCs w:val="20"/>
          <w:lang w:eastAsia="en-GB" w:bidi="ar-SA"/>
        </w:rPr>
        <w:t xml:space="preserve">Brassica napus </w:t>
      </w:r>
      <w:r w:rsidRPr="009534F8">
        <w:rPr>
          <w:rFonts w:ascii="ArialMT" w:hAnsi="ArialMT" w:cs="ArialMT"/>
          <w:color w:val="000000" w:themeColor="text1"/>
          <w:sz w:val="20"/>
          <w:szCs w:val="20"/>
          <w:lang w:eastAsia="en-GB" w:bidi="ar-SA"/>
        </w:rPr>
        <w:t>- Summary of protein expression analyses of field samples grown in Canada and the USA during 2014. Unpublished Bayer Crop Science Report. Document no. M-549123-01-1.</w:t>
      </w:r>
    </w:p>
    <w:p w14:paraId="657B5B47" w14:textId="674CA41C" w:rsidR="00A35DB9"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color w:val="000000" w:themeColor="text1"/>
          <w:sz w:val="20"/>
          <w:szCs w:val="20"/>
          <w:lang w:eastAsia="en-GB" w:bidi="ar-SA"/>
        </w:rPr>
      </w:pPr>
      <w:r w:rsidRPr="009534F8">
        <w:rPr>
          <w:rFonts w:ascii="ArialMT" w:hAnsi="ArialMT" w:cs="ArialMT"/>
          <w:color w:val="000000" w:themeColor="text1"/>
          <w:sz w:val="20"/>
          <w:szCs w:val="20"/>
          <w:lang w:eastAsia="en-GB" w:bidi="ar-SA"/>
        </w:rPr>
        <w:t xml:space="preserve">2015. MS11 x RF3, MS11, and RF3 </w:t>
      </w:r>
      <w:r w:rsidRPr="009534F8">
        <w:rPr>
          <w:rFonts w:ascii="Arial-ItalicMT" w:hAnsi="Arial-ItalicMT" w:cs="Arial-ItalicMT"/>
          <w:i/>
          <w:iCs/>
          <w:color w:val="000000" w:themeColor="text1"/>
          <w:sz w:val="20"/>
          <w:szCs w:val="20"/>
          <w:lang w:eastAsia="en-GB" w:bidi="ar-SA"/>
        </w:rPr>
        <w:t xml:space="preserve">Brassica napus </w:t>
      </w:r>
      <w:r w:rsidRPr="009534F8">
        <w:rPr>
          <w:rFonts w:ascii="ArialMT" w:hAnsi="ArialMT" w:cs="ArialMT"/>
          <w:color w:val="000000" w:themeColor="text1"/>
          <w:sz w:val="20"/>
          <w:szCs w:val="20"/>
          <w:lang w:eastAsia="en-GB" w:bidi="ar-SA"/>
        </w:rPr>
        <w:t>- Protein expression analyses of field samples grown in Canada and the USA</w:t>
      </w:r>
      <w:r w:rsidRPr="009534F8">
        <w:rPr>
          <w:rFonts w:ascii="Arial-ItalicMT" w:hAnsi="Arial-ItalicMT" w:cs="Arial-ItalicMT"/>
          <w:i/>
          <w:iCs/>
          <w:color w:val="000000" w:themeColor="text1"/>
          <w:sz w:val="20"/>
          <w:szCs w:val="20"/>
          <w:lang w:eastAsia="en-GB" w:bidi="ar-SA"/>
        </w:rPr>
        <w:t xml:space="preserve"> </w:t>
      </w:r>
      <w:r w:rsidRPr="009534F8">
        <w:rPr>
          <w:rFonts w:ascii="ArialMT" w:hAnsi="ArialMT" w:cs="ArialMT"/>
          <w:color w:val="000000" w:themeColor="text1"/>
          <w:sz w:val="20"/>
          <w:szCs w:val="20"/>
          <w:lang w:eastAsia="en-GB" w:bidi="ar-SA"/>
        </w:rPr>
        <w:t>during 2014. Unpublished Bayer Crop Science Report. Document no. M-542702-01-1.</w:t>
      </w:r>
      <w:r w:rsidR="00A35DB9">
        <w:rPr>
          <w:rFonts w:ascii="ArialMT" w:hAnsi="ArialMT" w:cs="ArialMT"/>
          <w:color w:val="000000" w:themeColor="text1"/>
          <w:sz w:val="20"/>
          <w:szCs w:val="20"/>
          <w:lang w:eastAsia="en-GB" w:bidi="ar-SA"/>
        </w:rPr>
        <w:br w:type="page"/>
      </w:r>
    </w:p>
    <w:p w14:paraId="17C2EC4E" w14:textId="200645F2" w:rsidR="0033454E" w:rsidRPr="009534F8" w:rsidRDefault="0033454E" w:rsidP="0033454E">
      <w:pPr>
        <w:rPr>
          <w:color w:val="000000" w:themeColor="text1"/>
          <w:szCs w:val="22"/>
        </w:rPr>
      </w:pPr>
      <w:r w:rsidRPr="009534F8">
        <w:rPr>
          <w:color w:val="000000" w:themeColor="text1"/>
          <w:szCs w:val="22"/>
        </w:rPr>
        <w:lastRenderedPageBreak/>
        <w:t>Plants from PCR-verified seed of MS11 (generation T</w:t>
      </w:r>
      <w:r w:rsidRPr="009534F8">
        <w:rPr>
          <w:color w:val="000000" w:themeColor="text1"/>
          <w:szCs w:val="22"/>
          <w:vertAlign w:val="subscript"/>
        </w:rPr>
        <w:t>4</w:t>
      </w:r>
      <w:r w:rsidRPr="009534F8">
        <w:rPr>
          <w:color w:val="000000" w:themeColor="text1"/>
          <w:szCs w:val="22"/>
        </w:rPr>
        <w:t xml:space="preserve"> – see Figure 3), RF3 and MS11 x RF3, together with the non-GM N90-740 parent were sampled from three locations across Canada and the </w:t>
      </w:r>
      <w:r w:rsidR="00F97F7B">
        <w:rPr>
          <w:color w:val="000000" w:themeColor="text1"/>
          <w:szCs w:val="22"/>
        </w:rPr>
        <w:t>USA</w:t>
      </w:r>
      <w:r w:rsidRPr="009534F8">
        <w:rPr>
          <w:rStyle w:val="FootnoteReference"/>
          <w:color w:val="000000" w:themeColor="text1"/>
          <w:szCs w:val="22"/>
        </w:rPr>
        <w:footnoteReference w:id="13"/>
      </w:r>
      <w:r w:rsidRPr="009534F8">
        <w:rPr>
          <w:color w:val="000000" w:themeColor="text1"/>
          <w:szCs w:val="22"/>
        </w:rPr>
        <w:t xml:space="preserve"> during the 2014 season.</w:t>
      </w:r>
    </w:p>
    <w:p w14:paraId="2BF03611" w14:textId="77777777" w:rsidR="0033454E" w:rsidRPr="009534F8" w:rsidRDefault="0033454E" w:rsidP="0033454E">
      <w:pPr>
        <w:rPr>
          <w:color w:val="000000" w:themeColor="text1"/>
          <w:szCs w:val="22"/>
        </w:rPr>
      </w:pPr>
    </w:p>
    <w:p w14:paraId="3956F9D3" w14:textId="77777777" w:rsidR="0033454E" w:rsidRPr="00E760F7"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9534F8">
        <w:rPr>
          <w:rFonts w:ascii="CharterBT-Roman" w:hAnsi="CharterBT-Roman" w:cs="CharterBT-Roman"/>
          <w:color w:val="000000" w:themeColor="text1"/>
          <w:szCs w:val="22"/>
          <w:lang w:eastAsia="en-GB" w:bidi="ar-SA"/>
        </w:rPr>
        <w:t>Five blocks (replicates) of each entry (sample type) were established at each test site in a randomised complete block design. MS11 plants were either unsprayed or sprayed with Liberty® 280SL containing approximately 280 g ai/L glufosinate ammonium applied at the 2 – 4 leaf growth stage (BBCH12-14)</w:t>
      </w:r>
      <w:r w:rsidRPr="009534F8">
        <w:rPr>
          <w:rStyle w:val="FootnoteReference"/>
          <w:rFonts w:ascii="CharterBT-Roman" w:hAnsi="CharterBT-Roman" w:cs="CharterBT-Roman"/>
          <w:color w:val="000000" w:themeColor="text1"/>
          <w:szCs w:val="22"/>
          <w:lang w:eastAsia="en-GB" w:bidi="ar-SA"/>
        </w:rPr>
        <w:footnoteReference w:id="14"/>
      </w:r>
      <w:r w:rsidRPr="009534F8">
        <w:rPr>
          <w:rFonts w:ascii="CharterBT-Roman" w:hAnsi="CharterBT-Roman" w:cs="CharterBT-Roman"/>
          <w:color w:val="000000" w:themeColor="text1"/>
          <w:szCs w:val="22"/>
          <w:lang w:eastAsia="en-GB" w:bidi="ar-SA"/>
        </w:rPr>
        <w:t>. Given that the T</w:t>
      </w:r>
      <w:r w:rsidRPr="009534F8">
        <w:rPr>
          <w:rFonts w:ascii="CharterBT-Roman" w:hAnsi="CharterBT-Roman" w:cs="CharterBT-Roman"/>
          <w:color w:val="000000" w:themeColor="text1"/>
          <w:szCs w:val="22"/>
          <w:vertAlign w:val="subscript"/>
          <w:lang w:eastAsia="en-GB" w:bidi="ar-SA"/>
        </w:rPr>
        <w:t>4</w:t>
      </w:r>
      <w:r w:rsidRPr="009534F8">
        <w:rPr>
          <w:rFonts w:ascii="CharterBT-Roman" w:hAnsi="CharterBT-Roman" w:cs="CharterBT-Roman"/>
          <w:color w:val="000000" w:themeColor="text1"/>
          <w:szCs w:val="22"/>
          <w:lang w:eastAsia="en-GB" w:bidi="ar-SA"/>
        </w:rPr>
        <w:t xml:space="preserve"> plants had been obtained by crossing MS11 with the non-GM N90-740 (see Section 3.3) the resulting plants contained a 1:1 mix of positive:negative segregants. This meant that in the sprayed</w:t>
      </w:r>
      <w:r>
        <w:rPr>
          <w:rFonts w:ascii="CharterBT-Roman" w:hAnsi="CharterBT-Roman" w:cs="CharterBT-Roman"/>
          <w:color w:val="000000" w:themeColor="text1"/>
          <w:szCs w:val="22"/>
          <w:lang w:eastAsia="en-GB" w:bidi="ar-SA"/>
        </w:rPr>
        <w:t xml:space="preserve"> treatment, approximately half of the plants were killed by the glufosinate; to allow for this, planting density of these plants was double that of the unsprayed plants. </w:t>
      </w:r>
      <w:r w:rsidRPr="00E760F7">
        <w:rPr>
          <w:rFonts w:ascii="CharterBT-Roman" w:hAnsi="CharterBT-Roman" w:cs="CharterBT-Roman"/>
          <w:color w:val="000000" w:themeColor="text1"/>
          <w:szCs w:val="22"/>
          <w:lang w:eastAsia="en-GB" w:bidi="ar-SA"/>
        </w:rPr>
        <w:t>Each entry was planted in 6-row plots of 5 met</w:t>
      </w:r>
      <w:r>
        <w:rPr>
          <w:rFonts w:ascii="CharterBT-Roman" w:hAnsi="CharterBT-Roman" w:cs="CharterBT-Roman"/>
          <w:color w:val="000000" w:themeColor="text1"/>
          <w:szCs w:val="22"/>
          <w:lang w:eastAsia="en-GB" w:bidi="ar-SA"/>
        </w:rPr>
        <w:t>re</w:t>
      </w:r>
      <w:r w:rsidRPr="00E760F7">
        <w:rPr>
          <w:rFonts w:ascii="CharterBT-Roman" w:hAnsi="CharterBT-Roman" w:cs="CharterBT-Roman"/>
          <w:color w:val="000000" w:themeColor="text1"/>
          <w:szCs w:val="22"/>
          <w:lang w:eastAsia="en-GB" w:bidi="ar-SA"/>
        </w:rPr>
        <w:t>s in length.</w:t>
      </w:r>
    </w:p>
    <w:p w14:paraId="58BAF0B6" w14:textId="77777777" w:rsidR="0033454E" w:rsidRPr="00E760F7"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16B166E3" w14:textId="77777777" w:rsidR="0033454E" w:rsidRPr="00E760F7"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E760F7">
        <w:rPr>
          <w:rFonts w:ascii="CharterBT-Roman" w:hAnsi="CharterBT-Roman" w:cs="CharterBT-Roman"/>
          <w:color w:val="000000" w:themeColor="text1"/>
          <w:szCs w:val="22"/>
          <w:lang w:eastAsia="en-GB" w:bidi="ar-SA"/>
        </w:rPr>
        <w:t xml:space="preserve">Levels of each protein were determined for each sample type using a validated enzyme linked immunosorbent </w:t>
      </w:r>
      <w:r w:rsidRPr="00E27576">
        <w:rPr>
          <w:rFonts w:ascii="CharterBT-Roman" w:hAnsi="CharterBT-Roman" w:cs="CharterBT-Roman"/>
          <w:color w:val="000000" w:themeColor="text1"/>
          <w:szCs w:val="22"/>
          <w:lang w:eastAsia="en-GB" w:bidi="ar-SA"/>
        </w:rPr>
        <w:t>assay (ELISA) employing</w:t>
      </w:r>
      <w:r w:rsidRPr="00E760F7">
        <w:rPr>
          <w:rFonts w:ascii="CharterBT-Roman" w:hAnsi="CharterBT-Roman" w:cs="CharterBT-Roman"/>
          <w:color w:val="000000" w:themeColor="text1"/>
          <w:szCs w:val="22"/>
          <w:lang w:eastAsia="en-GB" w:bidi="ar-SA"/>
        </w:rPr>
        <w:t xml:space="preserve"> a commercially prepared kit as follows:</w:t>
      </w:r>
    </w:p>
    <w:p w14:paraId="2EC4D41A" w14:textId="77777777" w:rsidR="0033454E" w:rsidRPr="00E760F7"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5009C7C8" w14:textId="77777777" w:rsidR="0033454E" w:rsidRPr="00E760F7" w:rsidRDefault="0033454E" w:rsidP="00AD4317">
      <w:pPr>
        <w:pStyle w:val="FSBullet1"/>
        <w:rPr>
          <w:lang w:eastAsia="en-GB"/>
        </w:rPr>
      </w:pPr>
      <w:r w:rsidRPr="00E760F7">
        <w:rPr>
          <w:lang w:eastAsia="en-GB"/>
        </w:rPr>
        <w:t>Qualiplate™ Kit for LibertyLink PAT/</w:t>
      </w:r>
      <w:r w:rsidRPr="00E760F7">
        <w:rPr>
          <w:i/>
          <w:lang w:eastAsia="en-GB"/>
        </w:rPr>
        <w:t>bar</w:t>
      </w:r>
      <w:r w:rsidRPr="00E760F7">
        <w:rPr>
          <w:lang w:eastAsia="en-GB"/>
        </w:rPr>
        <w:t xml:space="preserve"> (EnviroLogix)</w:t>
      </w:r>
    </w:p>
    <w:p w14:paraId="2242116F" w14:textId="77777777" w:rsidR="0033454E" w:rsidRPr="00E760F7" w:rsidRDefault="0033454E" w:rsidP="00AD4317">
      <w:pPr>
        <w:pStyle w:val="FSBullet1"/>
        <w:rPr>
          <w:lang w:eastAsia="en-GB"/>
        </w:rPr>
      </w:pPr>
      <w:r w:rsidRPr="00E760F7">
        <w:rPr>
          <w:lang w:eastAsia="en-GB"/>
        </w:rPr>
        <w:t>Barnase Plate Kit (EnviroLogix)</w:t>
      </w:r>
    </w:p>
    <w:p w14:paraId="5BA397A1" w14:textId="77777777" w:rsidR="0033454E" w:rsidRPr="00E760F7" w:rsidRDefault="0033454E" w:rsidP="00AD4317">
      <w:pPr>
        <w:pStyle w:val="FSBullet1"/>
        <w:rPr>
          <w:lang w:eastAsia="en-GB"/>
        </w:rPr>
      </w:pPr>
      <w:r w:rsidRPr="00E760F7">
        <w:rPr>
          <w:lang w:eastAsia="en-GB"/>
        </w:rPr>
        <w:t>Barstar Plate Kit (EnviroLogix)</w:t>
      </w:r>
    </w:p>
    <w:p w14:paraId="2DFCE031" w14:textId="77777777" w:rsidR="0033454E" w:rsidRPr="00E760F7" w:rsidRDefault="0033454E" w:rsidP="0033454E">
      <w:pPr>
        <w:widowControl/>
        <w:tabs>
          <w:tab w:val="left" w:pos="1020"/>
        </w:tabs>
        <w:autoSpaceDE w:val="0"/>
        <w:autoSpaceDN w:val="0"/>
        <w:adjustRightInd w:val="0"/>
        <w:rPr>
          <w:rFonts w:ascii="CharterBT-Roman" w:hAnsi="CharterBT-Roman" w:cs="CharterBT-Roman"/>
          <w:color w:val="000000" w:themeColor="text1"/>
          <w:szCs w:val="22"/>
          <w:lang w:eastAsia="en-GB" w:bidi="ar-SA"/>
        </w:rPr>
      </w:pPr>
      <w:r w:rsidRPr="00E760F7">
        <w:rPr>
          <w:rFonts w:ascii="CharterBT-Roman" w:hAnsi="CharterBT-Roman" w:cs="CharterBT-Roman"/>
          <w:color w:val="000000" w:themeColor="text1"/>
          <w:szCs w:val="22"/>
          <w:lang w:eastAsia="en-GB" w:bidi="ar-SA"/>
        </w:rPr>
        <w:tab/>
      </w:r>
    </w:p>
    <w:p w14:paraId="5931966F" w14:textId="77777777"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E760F7">
        <w:rPr>
          <w:rFonts w:ascii="CharterBT-Roman" w:hAnsi="CharterBT-Roman" w:cs="CharterBT-Roman"/>
          <w:color w:val="000000" w:themeColor="text1"/>
          <w:szCs w:val="22"/>
          <w:lang w:eastAsia="en-GB" w:bidi="ar-SA"/>
        </w:rPr>
        <w:t>A standard curve was prepared for each ELISA, and sample values were interpolated from this. SoftMax Pro® was used t</w:t>
      </w:r>
      <w:r>
        <w:rPr>
          <w:rFonts w:ascii="CharterBT-Roman" w:hAnsi="CharterBT-Roman" w:cs="CharterBT-Roman"/>
          <w:color w:val="000000" w:themeColor="text1"/>
          <w:szCs w:val="22"/>
          <w:lang w:eastAsia="en-GB" w:bidi="ar-SA"/>
        </w:rPr>
        <w:t>o calculate the concentration (n</w:t>
      </w:r>
      <w:r w:rsidRPr="00E760F7">
        <w:rPr>
          <w:rFonts w:ascii="CharterBT-Roman" w:hAnsi="CharterBT-Roman" w:cs="CharterBT-Roman"/>
          <w:color w:val="000000" w:themeColor="text1"/>
          <w:szCs w:val="22"/>
          <w:lang w:eastAsia="en-GB" w:bidi="ar-SA"/>
        </w:rPr>
        <w:t>g/ml extract) of the proteins. These values were then converted to amount</w:t>
      </w:r>
      <w:r>
        <w:rPr>
          <w:rFonts w:ascii="CharterBT-Roman" w:hAnsi="CharterBT-Roman" w:cs="CharterBT-Roman"/>
          <w:color w:val="000000" w:themeColor="text1"/>
          <w:szCs w:val="22"/>
          <w:lang w:eastAsia="en-GB" w:bidi="ar-SA"/>
        </w:rPr>
        <w:t>s per weight of tissue homogenis</w:t>
      </w:r>
      <w:r w:rsidRPr="00E760F7">
        <w:rPr>
          <w:rFonts w:ascii="CharterBT-Roman" w:hAnsi="CharterBT-Roman" w:cs="CharterBT-Roman"/>
          <w:color w:val="000000" w:themeColor="text1"/>
          <w:szCs w:val="22"/>
          <w:lang w:eastAsia="en-GB" w:bidi="ar-SA"/>
        </w:rPr>
        <w:t xml:space="preserve">ed for each sample type and analyte, and </w:t>
      </w:r>
      <w:r>
        <w:rPr>
          <w:rFonts w:ascii="CharterBT-Roman" w:hAnsi="CharterBT-Roman" w:cs="CharterBT-Roman"/>
          <w:color w:val="000000" w:themeColor="text1"/>
          <w:szCs w:val="22"/>
          <w:lang w:eastAsia="en-GB" w:bidi="ar-SA"/>
        </w:rPr>
        <w:t xml:space="preserve">ultimately </w:t>
      </w:r>
      <w:r w:rsidRPr="00E760F7">
        <w:rPr>
          <w:rFonts w:ascii="CharterBT-Roman" w:hAnsi="CharterBT-Roman" w:cs="CharterBT-Roman"/>
          <w:color w:val="000000" w:themeColor="text1"/>
          <w:szCs w:val="22"/>
          <w:lang w:eastAsia="en-GB" w:bidi="ar-SA"/>
        </w:rPr>
        <w:t xml:space="preserve">expressed </w:t>
      </w:r>
      <w:r w:rsidRPr="00E27576">
        <w:rPr>
          <w:rFonts w:ascii="CharterBT-Roman" w:hAnsi="CharterBT-Roman" w:cs="CharterBT-Roman"/>
          <w:color w:val="000000" w:themeColor="text1"/>
          <w:szCs w:val="22"/>
          <w:lang w:eastAsia="en-GB" w:bidi="ar-SA"/>
        </w:rPr>
        <w:t>as μg protein per g dry weight (dw) tissue. Where protein levels in samples were close to the Limit of Quantification (LOQ) it was</w:t>
      </w:r>
      <w:r>
        <w:rPr>
          <w:rFonts w:ascii="CharterBT-Roman" w:hAnsi="CharterBT-Roman" w:cs="CharterBT-Roman"/>
          <w:color w:val="000000" w:themeColor="text1"/>
          <w:szCs w:val="22"/>
          <w:lang w:eastAsia="en-GB" w:bidi="ar-SA"/>
        </w:rPr>
        <w:t xml:space="preserve"> not possible to distinguish between positive segregants with low expression levels and negative segregants; these samples were excluded from calculation of the mean.</w:t>
      </w:r>
    </w:p>
    <w:p w14:paraId="5E6509F9" w14:textId="77777777"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653C73A4" w14:textId="4AA78E92"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t xml:space="preserve">The results for each protein as expressed in MS 11 and MS11 x RF3 are presented </w:t>
      </w:r>
      <w:r w:rsidRPr="00A01C1A">
        <w:rPr>
          <w:rFonts w:ascii="CharterBT-Roman" w:hAnsi="CharterBT-Roman" w:cs="CharterBT-Roman"/>
          <w:color w:val="000000" w:themeColor="text1"/>
          <w:szCs w:val="22"/>
          <w:lang w:eastAsia="en-GB" w:bidi="ar-SA"/>
        </w:rPr>
        <w:t xml:space="preserve">in Table 4 (RF3 results not shown) and the following </w:t>
      </w:r>
      <w:r w:rsidR="00A342A6">
        <w:rPr>
          <w:rFonts w:ascii="CharterBT-Roman" w:hAnsi="CharterBT-Roman" w:cs="CharterBT-Roman"/>
          <w:color w:val="000000" w:themeColor="text1"/>
          <w:szCs w:val="22"/>
          <w:lang w:eastAsia="en-GB" w:bidi="ar-SA"/>
        </w:rPr>
        <w:t>observations</w:t>
      </w:r>
      <w:r w:rsidRPr="00A01C1A">
        <w:rPr>
          <w:rFonts w:ascii="CharterBT-Roman" w:hAnsi="CharterBT-Roman" w:cs="CharterBT-Roman"/>
          <w:color w:val="000000" w:themeColor="text1"/>
          <w:szCs w:val="22"/>
          <w:lang w:eastAsia="en-GB" w:bidi="ar-SA"/>
        </w:rPr>
        <w:t xml:space="preserve"> made:</w:t>
      </w:r>
    </w:p>
    <w:p w14:paraId="5B2D40C7" w14:textId="77777777"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721B0934" w14:textId="77777777" w:rsidR="0033454E" w:rsidRDefault="0033454E" w:rsidP="00AD4317">
      <w:pPr>
        <w:pStyle w:val="FSBullet1"/>
        <w:rPr>
          <w:lang w:eastAsia="en-GB"/>
        </w:rPr>
      </w:pPr>
      <w:r>
        <w:rPr>
          <w:lang w:eastAsia="en-GB"/>
        </w:rPr>
        <w:t>While there were differences in the means between sprayed and unsprayed plants these differences were not consistent either between plant parts or between MS11 and MS11 x RF3.</w:t>
      </w:r>
    </w:p>
    <w:p w14:paraId="123CF3D9" w14:textId="77777777" w:rsidR="0033454E" w:rsidRDefault="0033454E" w:rsidP="00AD4317">
      <w:pPr>
        <w:pStyle w:val="FSBullet1"/>
        <w:rPr>
          <w:lang w:eastAsia="en-GB"/>
        </w:rPr>
      </w:pPr>
      <w:r>
        <w:rPr>
          <w:lang w:eastAsia="en-GB"/>
        </w:rPr>
        <w:t>In general, the means for all three proteins across all plant parts were slightly higher in the MS11 x RF3 plants than in the MS11 plants.</w:t>
      </w:r>
    </w:p>
    <w:p w14:paraId="47638B25" w14:textId="664CD9B2" w:rsidR="0033454E" w:rsidRDefault="0033454E" w:rsidP="00AD4317">
      <w:pPr>
        <w:pStyle w:val="FSBullet1"/>
        <w:rPr>
          <w:lang w:eastAsia="en-GB"/>
        </w:rPr>
      </w:pPr>
      <w:r>
        <w:rPr>
          <w:lang w:eastAsia="en-GB"/>
        </w:rPr>
        <w:t>For each protein, the trends of the means across sprayed/unsprayed and MS11/MS11 x RF3 were consistent i.e.:</w:t>
      </w:r>
    </w:p>
    <w:p w14:paraId="2D4878A7" w14:textId="77777777" w:rsidR="00E5589F" w:rsidRPr="00E5589F" w:rsidRDefault="00E5589F" w:rsidP="00AD4317">
      <w:pPr>
        <w:rPr>
          <w:lang w:eastAsia="en-GB" w:bidi="ar-SA"/>
        </w:rPr>
      </w:pPr>
    </w:p>
    <w:p w14:paraId="50DDF6F0" w14:textId="77777777" w:rsidR="0033454E" w:rsidRPr="009E36EC" w:rsidRDefault="0033454E" w:rsidP="00AD4317">
      <w:pPr>
        <w:pStyle w:val="FSBullet2"/>
        <w:rPr>
          <w:lang w:eastAsia="en-GB"/>
        </w:rPr>
      </w:pPr>
      <w:r>
        <w:rPr>
          <w:lang w:eastAsia="en-GB"/>
        </w:rPr>
        <w:t>The mean level of PAT protein was highest in whole plants sampled at the 3 – 5 leaf stage (BBCH13 – 15). Lowest values were obtained in root and seed samples</w:t>
      </w:r>
      <w:r w:rsidRPr="009E36EC">
        <w:rPr>
          <w:lang w:eastAsia="en-GB"/>
        </w:rPr>
        <w:t>.</w:t>
      </w:r>
    </w:p>
    <w:p w14:paraId="6E572FA0" w14:textId="77777777" w:rsidR="0033454E" w:rsidRDefault="0033454E" w:rsidP="00AD4317">
      <w:pPr>
        <w:pStyle w:val="FSBullet2"/>
        <w:rPr>
          <w:lang w:eastAsia="en-GB"/>
        </w:rPr>
      </w:pPr>
      <w:r>
        <w:rPr>
          <w:lang w:eastAsia="en-GB"/>
        </w:rPr>
        <w:t>The Barnase protein was below the LOQ in all samples except roots in the inflorescence development/flowering stage (BBCH57-65) in MS11 x RF3.</w:t>
      </w:r>
    </w:p>
    <w:p w14:paraId="6B696340" w14:textId="5B2A2967" w:rsidR="00E5589F" w:rsidRDefault="0033454E" w:rsidP="00AD4317">
      <w:pPr>
        <w:pStyle w:val="FSBullet2"/>
        <w:rPr>
          <w:lang w:eastAsia="en-GB"/>
        </w:rPr>
      </w:pPr>
      <w:r>
        <w:rPr>
          <w:lang w:eastAsia="en-GB"/>
        </w:rPr>
        <w:t>Levels of Barstar in all tissues were either below the LOQ or very low. Roots marginally appeared to have the highest mean level.</w:t>
      </w:r>
    </w:p>
    <w:p w14:paraId="7B834149" w14:textId="77777777" w:rsidR="00E5589F" w:rsidRDefault="00E5589F" w:rsidP="00AD4317">
      <w:pPr>
        <w:pStyle w:val="FSBullet2"/>
        <w:numPr>
          <w:ilvl w:val="0"/>
          <w:numId w:val="0"/>
        </w:numPr>
        <w:ind w:left="1134"/>
        <w:rPr>
          <w:lang w:eastAsia="en-GB"/>
        </w:rPr>
      </w:pPr>
    </w:p>
    <w:p w14:paraId="016CF380" w14:textId="77777777" w:rsidR="0033454E" w:rsidRPr="003C270D" w:rsidRDefault="0033454E" w:rsidP="00BD2330">
      <w:pPr>
        <w:pStyle w:val="ListParagraph"/>
        <w:widowControl/>
        <w:numPr>
          <w:ilvl w:val="0"/>
          <w:numId w:val="13"/>
        </w:numPr>
        <w:autoSpaceDE w:val="0"/>
        <w:autoSpaceDN w:val="0"/>
        <w:adjustRightInd w:val="0"/>
        <w:ind w:left="567" w:hanging="567"/>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t>Mean levels of all three proteins in the edible part (i.e. seed) were below the LOQ or very low.</w:t>
      </w:r>
    </w:p>
    <w:p w14:paraId="4BC6205C" w14:textId="77777777" w:rsidR="0033454E" w:rsidRDefault="0033454E" w:rsidP="0033454E">
      <w:pPr>
        <w:pStyle w:val="Caption"/>
        <w:keepNext/>
        <w:rPr>
          <w:rFonts w:cs="Arial"/>
          <w:color w:val="FF0000"/>
          <w:sz w:val="22"/>
          <w:szCs w:val="22"/>
        </w:rPr>
        <w:sectPr w:rsidR="0033454E" w:rsidSect="00B20711">
          <w:pgSz w:w="11906" w:h="16838"/>
          <w:pgMar w:top="1418" w:right="1418" w:bottom="1418" w:left="1418" w:header="709" w:footer="709" w:gutter="0"/>
          <w:pgNumType w:start="1"/>
          <w:cols w:space="708"/>
          <w:docGrid w:linePitch="360"/>
        </w:sectPr>
      </w:pPr>
    </w:p>
    <w:p w14:paraId="0AD43F5F" w14:textId="77777777" w:rsidR="0033454E" w:rsidRPr="00C63B93" w:rsidRDefault="0033454E" w:rsidP="00AD4317">
      <w:bookmarkStart w:id="34" w:name="_Toc481574639"/>
      <w:r w:rsidRPr="00AD4317">
        <w:rPr>
          <w:b/>
        </w:rPr>
        <w:lastRenderedPageBreak/>
        <w:t xml:space="preserve">Table </w:t>
      </w:r>
      <w:r w:rsidRPr="00AD4317">
        <w:rPr>
          <w:b/>
        </w:rPr>
        <w:fldChar w:fldCharType="begin"/>
      </w:r>
      <w:r w:rsidRPr="00AD4317">
        <w:rPr>
          <w:b/>
        </w:rPr>
        <w:instrText xml:space="preserve"> SEQ Table \* ARABIC </w:instrText>
      </w:r>
      <w:r w:rsidRPr="00AD4317">
        <w:rPr>
          <w:b/>
        </w:rPr>
        <w:fldChar w:fldCharType="separate"/>
      </w:r>
      <w:r w:rsidR="007D76F3" w:rsidRPr="00AD4317">
        <w:rPr>
          <w:b/>
          <w:noProof/>
        </w:rPr>
        <w:t>4</w:t>
      </w:r>
      <w:r w:rsidRPr="00AD4317">
        <w:rPr>
          <w:b/>
        </w:rPr>
        <w:fldChar w:fldCharType="end"/>
      </w:r>
      <w:r w:rsidRPr="00AD4317">
        <w:rPr>
          <w:b/>
        </w:rPr>
        <w:t>: PAT, Barnase &amp; Barstar protein content in various tissues of MS11 and MS11 x RF3, averaged across three sites</w:t>
      </w:r>
      <w:bookmarkEnd w:id="34"/>
    </w:p>
    <w:p w14:paraId="0B8FC534" w14:textId="77777777" w:rsidR="0033454E" w:rsidRPr="00FC606A" w:rsidRDefault="0033454E" w:rsidP="0033454E">
      <w:pPr>
        <w:rPr>
          <w:rFonts w:cs="Arial"/>
          <w:color w:val="000000" w:themeColor="text1"/>
          <w:sz w:val="20"/>
          <w:szCs w:val="20"/>
          <w:lang w:eastAsia="en-GB" w:bidi="ar-SA"/>
        </w:rPr>
      </w:pPr>
      <w:r w:rsidRPr="00602610">
        <w:rPr>
          <w:rFonts w:cs="Arial"/>
          <w:color w:val="000000" w:themeColor="text1"/>
          <w:sz w:val="20"/>
          <w:szCs w:val="20"/>
          <w:lang w:eastAsia="en-GB" w:bidi="ar-SA"/>
        </w:rPr>
        <w:t>BBCH13-15 = 3 – 5 leaf stage; BBCH30-39 = stem elongation: BBCH57 – 65 = inflorescence emergence to flowering</w:t>
      </w:r>
      <w:r>
        <w:rPr>
          <w:rFonts w:cs="Arial"/>
          <w:color w:val="000000" w:themeColor="text1"/>
          <w:sz w:val="20"/>
          <w:szCs w:val="20"/>
          <w:lang w:eastAsia="en-GB" w:bidi="ar-SA"/>
        </w:rPr>
        <w:t>; ND = not determine</w:t>
      </w:r>
    </w:p>
    <w:tbl>
      <w:tblPr>
        <w:tblStyle w:val="TableGrid"/>
        <w:tblW w:w="13058" w:type="dxa"/>
        <w:jc w:val="center"/>
        <w:tblLook w:val="04A0" w:firstRow="1" w:lastRow="0" w:firstColumn="1" w:lastColumn="0" w:noHBand="0" w:noVBand="1"/>
      </w:tblPr>
      <w:tblGrid>
        <w:gridCol w:w="2414"/>
        <w:gridCol w:w="909"/>
        <w:gridCol w:w="919"/>
        <w:gridCol w:w="1075"/>
        <w:gridCol w:w="1207"/>
        <w:gridCol w:w="997"/>
        <w:gridCol w:w="1129"/>
        <w:gridCol w:w="1084"/>
        <w:gridCol w:w="1120"/>
        <w:gridCol w:w="1084"/>
        <w:gridCol w:w="1120"/>
      </w:tblGrid>
      <w:tr w:rsidR="0033454E" w:rsidRPr="001B5342" w14:paraId="16429ABD" w14:textId="77777777" w:rsidTr="0033454E">
        <w:trPr>
          <w:trHeight w:val="410"/>
          <w:jc w:val="center"/>
        </w:trPr>
        <w:tc>
          <w:tcPr>
            <w:tcW w:w="2414" w:type="dxa"/>
            <w:vMerge w:val="restart"/>
            <w:shd w:val="clear" w:color="auto" w:fill="9BBB59" w:themeFill="accent3"/>
            <w:vAlign w:val="center"/>
          </w:tcPr>
          <w:p w14:paraId="258D1D61" w14:textId="77777777" w:rsidR="0033454E" w:rsidRDefault="0033454E" w:rsidP="0033454E">
            <w:pPr>
              <w:autoSpaceDE w:val="0"/>
              <w:autoSpaceDN w:val="0"/>
              <w:adjustRightInd w:val="0"/>
              <w:jc w:val="center"/>
              <w:rPr>
                <w:rFonts w:cs="Arial"/>
                <w:b/>
                <w:color w:val="FFFFFF" w:themeColor="background1"/>
                <w:szCs w:val="20"/>
                <w:lang w:bidi="ar-SA"/>
              </w:rPr>
            </w:pPr>
            <w:r w:rsidRPr="006A5A88">
              <w:rPr>
                <w:rFonts w:cs="Arial"/>
                <w:noProof/>
                <w:color w:val="FF0000"/>
                <w:szCs w:val="20"/>
                <w:lang w:bidi="ar-SA"/>
              </w:rPr>
              <mc:AlternateContent>
                <mc:Choice Requires="wps">
                  <w:drawing>
                    <wp:anchor distT="0" distB="0" distL="114300" distR="114300" simplePos="0" relativeHeight="251662336" behindDoc="0" locked="0" layoutInCell="1" allowOverlap="1" wp14:anchorId="610BBBC1" wp14:editId="1A2EC91C">
                      <wp:simplePos x="0" y="0"/>
                      <wp:positionH relativeFrom="column">
                        <wp:posOffset>87630</wp:posOffset>
                      </wp:positionH>
                      <wp:positionV relativeFrom="paragraph">
                        <wp:posOffset>461645</wp:posOffset>
                      </wp:positionV>
                      <wp:extent cx="504825" cy="1403985"/>
                      <wp:effectExtent l="762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4825" cy="1403985"/>
                              </a:xfrm>
                              <a:prstGeom prst="rect">
                                <a:avLst/>
                              </a:prstGeom>
                              <a:solidFill>
                                <a:srgbClr val="FFFFFF"/>
                              </a:solidFill>
                              <a:ln w="9525">
                                <a:noFill/>
                                <a:miter lim="800000"/>
                                <a:headEnd/>
                                <a:tailEnd/>
                              </a:ln>
                            </wps:spPr>
                            <wps:txbx>
                              <w:txbxContent>
                                <w:p w14:paraId="710268FE" w14:textId="77777777" w:rsidR="00A35DB9" w:rsidRPr="006A5A88" w:rsidRDefault="00A35DB9" w:rsidP="0033454E">
                                  <w:pPr>
                                    <w:rPr>
                                      <w:b/>
                                    </w:rPr>
                                  </w:pPr>
                                  <w:r w:rsidRPr="006A5A88">
                                    <w:rPr>
                                      <w:b/>
                                    </w:rPr>
                                    <w:t>PAT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0BBBC1" id="_x0000_t202" coordsize="21600,21600" o:spt="202" path="m,l,21600r21600,l21600,xe">
                      <v:stroke joinstyle="miter"/>
                      <v:path gradientshapeok="t" o:connecttype="rect"/>
                    </v:shapetype>
                    <v:shape id="Text Box 2" o:spid="_x0000_s1026" type="#_x0000_t202" style="position:absolute;left:0;text-align:left;margin-left:6.9pt;margin-top:36.35pt;width:39.75pt;height:110.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" stroked="f">
                      <v:textbox style="mso-fit-shape-to-text:t">
                        <w:txbxContent>
                          <w:p w14:paraId="710268FE" w14:textId="77777777" w:rsidR="00A35DB9" w:rsidRPr="006A5A88" w:rsidRDefault="00A35DB9" w:rsidP="0033454E">
                            <w:pPr>
                              <w:rPr>
                                <w:b/>
                              </w:rPr>
                            </w:pPr>
                            <w:r w:rsidRPr="006A5A88">
                              <w:rPr>
                                <w:b/>
                              </w:rPr>
                              <w:t>PAT</w:t>
                            </w:r>
                          </w:p>
                        </w:txbxContent>
                      </v:textbox>
                    </v:shape>
                  </w:pict>
                </mc:Fallback>
              </mc:AlternateContent>
            </w:r>
            <w:r>
              <w:rPr>
                <w:rFonts w:cs="Arial"/>
                <w:b/>
                <w:color w:val="FFFFFF" w:themeColor="background1"/>
                <w:szCs w:val="20"/>
                <w:lang w:bidi="ar-SA"/>
              </w:rPr>
              <w:t>Growth stage/plant part</w:t>
            </w:r>
          </w:p>
        </w:tc>
        <w:tc>
          <w:tcPr>
            <w:tcW w:w="909" w:type="dxa"/>
            <w:vMerge w:val="restart"/>
            <w:shd w:val="clear" w:color="auto" w:fill="9BBB59" w:themeFill="accent3"/>
            <w:vAlign w:val="center"/>
          </w:tcPr>
          <w:p w14:paraId="31ACE2A3" w14:textId="77777777" w:rsidR="0033454E" w:rsidRDefault="0033454E" w:rsidP="0033454E">
            <w:pPr>
              <w:autoSpaceDE w:val="0"/>
              <w:autoSpaceDN w:val="0"/>
              <w:adjustRightInd w:val="0"/>
              <w:jc w:val="center"/>
              <w:rPr>
                <w:rFonts w:cs="Arial"/>
                <w:b/>
                <w:color w:val="FFFFFF" w:themeColor="background1"/>
                <w:szCs w:val="20"/>
                <w:lang w:bidi="ar-SA"/>
              </w:rPr>
            </w:pPr>
          </w:p>
          <w:p w14:paraId="507F5D3B" w14:textId="77777777" w:rsidR="0033454E" w:rsidRPr="00814B4C" w:rsidRDefault="0033454E" w:rsidP="0033454E">
            <w:pPr>
              <w:autoSpaceDE w:val="0"/>
              <w:autoSpaceDN w:val="0"/>
              <w:adjustRightInd w:val="0"/>
              <w:jc w:val="center"/>
              <w:rPr>
                <w:rFonts w:cs="Arial"/>
                <w:b/>
                <w:color w:val="FFFFFF" w:themeColor="background1"/>
                <w:szCs w:val="20"/>
                <w:lang w:bidi="ar-SA"/>
              </w:rPr>
            </w:pPr>
            <w:r>
              <w:rPr>
                <w:rFonts w:cs="Arial"/>
                <w:b/>
                <w:color w:val="FFFFFF" w:themeColor="background1"/>
                <w:szCs w:val="20"/>
                <w:lang w:bidi="ar-SA"/>
              </w:rPr>
              <w:t>LOQ (μg/g)</w:t>
            </w:r>
          </w:p>
          <w:p w14:paraId="41288E5B" w14:textId="77777777" w:rsidR="0033454E" w:rsidRDefault="0033454E" w:rsidP="0033454E">
            <w:pPr>
              <w:autoSpaceDE w:val="0"/>
              <w:autoSpaceDN w:val="0"/>
              <w:adjustRightInd w:val="0"/>
              <w:jc w:val="center"/>
              <w:rPr>
                <w:rFonts w:cs="Arial"/>
                <w:b/>
                <w:color w:val="FFFFFF" w:themeColor="background1"/>
                <w:szCs w:val="20"/>
                <w:lang w:bidi="ar-SA"/>
              </w:rPr>
            </w:pPr>
          </w:p>
        </w:tc>
        <w:tc>
          <w:tcPr>
            <w:tcW w:w="919" w:type="dxa"/>
            <w:vMerge w:val="restart"/>
            <w:shd w:val="clear" w:color="auto" w:fill="9BBB59" w:themeFill="accent3"/>
            <w:vAlign w:val="center"/>
          </w:tcPr>
          <w:p w14:paraId="4BE9FE71" w14:textId="77777777" w:rsidR="0033454E" w:rsidRDefault="0033454E" w:rsidP="0033454E">
            <w:pPr>
              <w:autoSpaceDE w:val="0"/>
              <w:autoSpaceDN w:val="0"/>
              <w:adjustRightInd w:val="0"/>
              <w:jc w:val="center"/>
              <w:rPr>
                <w:rFonts w:cs="Arial"/>
                <w:b/>
                <w:color w:val="FFFFFF" w:themeColor="background1"/>
                <w:szCs w:val="20"/>
                <w:lang w:bidi="ar-SA"/>
              </w:rPr>
            </w:pPr>
            <w:r>
              <w:rPr>
                <w:rFonts w:cs="Arial"/>
                <w:b/>
                <w:color w:val="FFFFFF" w:themeColor="background1"/>
                <w:szCs w:val="20"/>
                <w:lang w:bidi="ar-SA"/>
              </w:rPr>
              <w:t>LOQ</w:t>
            </w:r>
          </w:p>
          <w:p w14:paraId="6AD31688" w14:textId="77777777" w:rsidR="0033454E" w:rsidRDefault="0033454E" w:rsidP="0033454E">
            <w:pPr>
              <w:autoSpaceDE w:val="0"/>
              <w:autoSpaceDN w:val="0"/>
              <w:adjustRightInd w:val="0"/>
              <w:jc w:val="center"/>
              <w:rPr>
                <w:rFonts w:cs="Arial"/>
                <w:b/>
                <w:color w:val="FFFFFF" w:themeColor="background1"/>
                <w:szCs w:val="20"/>
                <w:lang w:bidi="ar-SA"/>
              </w:rPr>
            </w:pPr>
            <w:r>
              <w:rPr>
                <w:rFonts w:cs="Arial"/>
                <w:b/>
                <w:color w:val="FFFFFF" w:themeColor="background1"/>
                <w:szCs w:val="20"/>
                <w:lang w:bidi="ar-SA"/>
              </w:rPr>
              <w:t>μg/g d</w:t>
            </w:r>
            <w:r w:rsidRPr="00C923E1">
              <w:rPr>
                <w:rFonts w:cs="Arial"/>
                <w:b/>
                <w:color w:val="FFFFFF" w:themeColor="background1"/>
                <w:szCs w:val="20"/>
                <w:lang w:bidi="ar-SA"/>
              </w:rPr>
              <w:t>w</w:t>
            </w:r>
          </w:p>
        </w:tc>
        <w:tc>
          <w:tcPr>
            <w:tcW w:w="4408" w:type="dxa"/>
            <w:gridSpan w:val="4"/>
            <w:tcBorders>
              <w:right w:val="double" w:sz="4" w:space="0" w:color="auto"/>
            </w:tcBorders>
            <w:shd w:val="clear" w:color="auto" w:fill="9BBB59" w:themeFill="accent3"/>
            <w:vAlign w:val="center"/>
          </w:tcPr>
          <w:p w14:paraId="3F14454F" w14:textId="77777777" w:rsidR="0033454E" w:rsidRDefault="0033454E" w:rsidP="0033454E">
            <w:pPr>
              <w:jc w:val="center"/>
              <w:rPr>
                <w:rFonts w:cs="Arial"/>
                <w:b/>
                <w:color w:val="FFFFFF" w:themeColor="background1"/>
                <w:szCs w:val="20"/>
                <w:lang w:bidi="ar-SA"/>
              </w:rPr>
            </w:pPr>
            <w:r>
              <w:rPr>
                <w:rFonts w:cs="Arial"/>
                <w:b/>
                <w:color w:val="FFFFFF" w:themeColor="background1"/>
                <w:szCs w:val="20"/>
                <w:lang w:bidi="ar-SA"/>
              </w:rPr>
              <w:t>MS11</w:t>
            </w:r>
          </w:p>
        </w:tc>
        <w:tc>
          <w:tcPr>
            <w:tcW w:w="4408" w:type="dxa"/>
            <w:gridSpan w:val="4"/>
            <w:tcBorders>
              <w:left w:val="double" w:sz="4" w:space="0" w:color="auto"/>
            </w:tcBorders>
            <w:shd w:val="clear" w:color="auto" w:fill="9BBB59" w:themeFill="accent3"/>
            <w:vAlign w:val="center"/>
          </w:tcPr>
          <w:p w14:paraId="07B3C2BE" w14:textId="77777777" w:rsidR="0033454E" w:rsidRDefault="0033454E" w:rsidP="0033454E">
            <w:pPr>
              <w:jc w:val="center"/>
              <w:rPr>
                <w:rFonts w:cs="Arial"/>
                <w:b/>
                <w:color w:val="FFFFFF" w:themeColor="background1"/>
                <w:szCs w:val="20"/>
                <w:lang w:bidi="ar-SA"/>
              </w:rPr>
            </w:pPr>
            <w:r>
              <w:rPr>
                <w:rFonts w:cs="Arial"/>
                <w:b/>
                <w:color w:val="FFFFFF" w:themeColor="background1"/>
                <w:szCs w:val="20"/>
                <w:lang w:bidi="ar-SA"/>
              </w:rPr>
              <w:t>MS11 x RF3</w:t>
            </w:r>
          </w:p>
        </w:tc>
      </w:tr>
      <w:tr w:rsidR="0033454E" w:rsidRPr="001B5342" w14:paraId="1BF88CAB" w14:textId="77777777" w:rsidTr="0033454E">
        <w:trPr>
          <w:trHeight w:val="410"/>
          <w:jc w:val="center"/>
        </w:trPr>
        <w:tc>
          <w:tcPr>
            <w:tcW w:w="2414" w:type="dxa"/>
            <w:vMerge/>
            <w:shd w:val="clear" w:color="auto" w:fill="9BBB59" w:themeFill="accent3"/>
            <w:vAlign w:val="center"/>
          </w:tcPr>
          <w:p w14:paraId="1437027B"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p>
        </w:tc>
        <w:tc>
          <w:tcPr>
            <w:tcW w:w="909" w:type="dxa"/>
            <w:vMerge/>
            <w:shd w:val="clear" w:color="auto" w:fill="9BBB59" w:themeFill="accent3"/>
          </w:tcPr>
          <w:p w14:paraId="1D66D68B" w14:textId="77777777" w:rsidR="0033454E" w:rsidRPr="00814B4C" w:rsidRDefault="0033454E" w:rsidP="0033454E">
            <w:pPr>
              <w:autoSpaceDE w:val="0"/>
              <w:autoSpaceDN w:val="0"/>
              <w:adjustRightInd w:val="0"/>
              <w:jc w:val="center"/>
              <w:rPr>
                <w:rFonts w:cs="Arial"/>
                <w:b/>
                <w:color w:val="FFFFFF" w:themeColor="background1"/>
                <w:szCs w:val="20"/>
                <w:lang w:bidi="ar-SA"/>
              </w:rPr>
            </w:pPr>
          </w:p>
        </w:tc>
        <w:tc>
          <w:tcPr>
            <w:tcW w:w="919" w:type="dxa"/>
            <w:vMerge/>
            <w:shd w:val="clear" w:color="auto" w:fill="9BBB59" w:themeFill="accent3"/>
          </w:tcPr>
          <w:p w14:paraId="0D414C45" w14:textId="77777777" w:rsidR="0033454E" w:rsidRPr="00814B4C" w:rsidRDefault="0033454E" w:rsidP="0033454E">
            <w:pPr>
              <w:autoSpaceDE w:val="0"/>
              <w:autoSpaceDN w:val="0"/>
              <w:adjustRightInd w:val="0"/>
              <w:jc w:val="center"/>
              <w:rPr>
                <w:rFonts w:cs="Arial"/>
                <w:b/>
                <w:color w:val="FFFFFF" w:themeColor="background1"/>
                <w:szCs w:val="20"/>
                <w:lang w:bidi="ar-SA"/>
              </w:rPr>
            </w:pPr>
          </w:p>
        </w:tc>
        <w:tc>
          <w:tcPr>
            <w:tcW w:w="2282" w:type="dxa"/>
            <w:gridSpan w:val="2"/>
            <w:shd w:val="clear" w:color="auto" w:fill="9BBB59" w:themeFill="accent3"/>
            <w:vAlign w:val="center"/>
          </w:tcPr>
          <w:p w14:paraId="1D17A845"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Pr>
                <w:rFonts w:cs="Arial"/>
                <w:b/>
                <w:color w:val="FFFFFF" w:themeColor="background1"/>
                <w:szCs w:val="20"/>
                <w:lang w:bidi="ar-SA"/>
              </w:rPr>
              <w:t>Unsprayed</w:t>
            </w:r>
            <w:r w:rsidRPr="00814B4C">
              <w:rPr>
                <w:rFonts w:cs="Arial"/>
                <w:b/>
                <w:color w:val="FFFFFF" w:themeColor="background1"/>
                <w:szCs w:val="20"/>
                <w:lang w:bidi="ar-SA"/>
              </w:rPr>
              <w:t xml:space="preserve"> </w:t>
            </w:r>
            <w:r>
              <w:rPr>
                <w:rFonts w:cs="Arial"/>
                <w:b/>
                <w:color w:val="FFFFFF" w:themeColor="background1"/>
                <w:szCs w:val="20"/>
                <w:lang w:bidi="ar-SA"/>
              </w:rPr>
              <w:t>(μg/g d</w:t>
            </w:r>
            <w:r w:rsidRPr="00C923E1">
              <w:rPr>
                <w:rFonts w:cs="Arial"/>
                <w:b/>
                <w:color w:val="FFFFFF" w:themeColor="background1"/>
                <w:szCs w:val="20"/>
                <w:lang w:bidi="ar-SA"/>
              </w:rPr>
              <w:t>w)</w:t>
            </w:r>
          </w:p>
        </w:tc>
        <w:tc>
          <w:tcPr>
            <w:tcW w:w="2126" w:type="dxa"/>
            <w:gridSpan w:val="2"/>
            <w:tcBorders>
              <w:right w:val="double" w:sz="4" w:space="0" w:color="auto"/>
            </w:tcBorders>
            <w:shd w:val="clear" w:color="auto" w:fill="9BBB59" w:themeFill="accent3"/>
            <w:vAlign w:val="center"/>
          </w:tcPr>
          <w:p w14:paraId="2F9F1132" w14:textId="77777777" w:rsidR="0033454E" w:rsidRPr="00C923E1" w:rsidRDefault="0033454E" w:rsidP="0033454E">
            <w:pPr>
              <w:rPr>
                <w:color w:val="FFFFFF" w:themeColor="background1"/>
                <w:lang w:val="en-AU" w:bidi="ar-SA"/>
              </w:rPr>
            </w:pPr>
            <w:r>
              <w:rPr>
                <w:rFonts w:cs="Arial"/>
                <w:b/>
                <w:color w:val="FFFFFF" w:themeColor="background1"/>
                <w:szCs w:val="20"/>
                <w:lang w:bidi="ar-SA"/>
              </w:rPr>
              <w:t>Sprayed (μg/g d</w:t>
            </w:r>
            <w:r w:rsidRPr="00C923E1">
              <w:rPr>
                <w:rFonts w:cs="Arial"/>
                <w:b/>
                <w:color w:val="FFFFFF" w:themeColor="background1"/>
                <w:szCs w:val="20"/>
                <w:lang w:bidi="ar-SA"/>
              </w:rPr>
              <w:t>w)</w:t>
            </w:r>
          </w:p>
        </w:tc>
        <w:tc>
          <w:tcPr>
            <w:tcW w:w="2204" w:type="dxa"/>
            <w:gridSpan w:val="2"/>
            <w:tcBorders>
              <w:left w:val="double" w:sz="4" w:space="0" w:color="auto"/>
            </w:tcBorders>
            <w:shd w:val="clear" w:color="auto" w:fill="9BBB59" w:themeFill="accent3"/>
            <w:vAlign w:val="center"/>
          </w:tcPr>
          <w:p w14:paraId="04637280" w14:textId="77777777" w:rsidR="0033454E" w:rsidRDefault="0033454E" w:rsidP="0033454E">
            <w:pPr>
              <w:jc w:val="center"/>
              <w:rPr>
                <w:rFonts w:cs="Arial"/>
                <w:b/>
                <w:color w:val="FFFFFF" w:themeColor="background1"/>
                <w:szCs w:val="20"/>
                <w:lang w:bidi="ar-SA"/>
              </w:rPr>
            </w:pPr>
            <w:r>
              <w:rPr>
                <w:rFonts w:cs="Arial"/>
                <w:b/>
                <w:color w:val="FFFFFF" w:themeColor="background1"/>
                <w:szCs w:val="20"/>
                <w:lang w:bidi="ar-SA"/>
              </w:rPr>
              <w:t>Unsprayed (μ</w:t>
            </w:r>
            <w:r w:rsidRPr="00C923E1">
              <w:rPr>
                <w:rFonts w:cs="Arial"/>
                <w:b/>
                <w:color w:val="FFFFFF" w:themeColor="background1"/>
                <w:szCs w:val="20"/>
                <w:lang w:bidi="ar-SA"/>
              </w:rPr>
              <w:t>g/</w:t>
            </w:r>
            <w:r>
              <w:rPr>
                <w:rFonts w:cs="Arial"/>
                <w:b/>
                <w:color w:val="FFFFFF" w:themeColor="background1"/>
                <w:szCs w:val="20"/>
                <w:lang w:bidi="ar-SA"/>
              </w:rPr>
              <w:t>g d</w:t>
            </w:r>
            <w:r w:rsidRPr="00C923E1">
              <w:rPr>
                <w:rFonts w:cs="Arial"/>
                <w:b/>
                <w:color w:val="FFFFFF" w:themeColor="background1"/>
                <w:szCs w:val="20"/>
                <w:lang w:bidi="ar-SA"/>
              </w:rPr>
              <w:t>w)</w:t>
            </w:r>
          </w:p>
        </w:tc>
        <w:tc>
          <w:tcPr>
            <w:tcW w:w="2204" w:type="dxa"/>
            <w:gridSpan w:val="2"/>
            <w:shd w:val="clear" w:color="auto" w:fill="9BBB59" w:themeFill="accent3"/>
            <w:vAlign w:val="center"/>
          </w:tcPr>
          <w:p w14:paraId="762C48FA" w14:textId="77777777" w:rsidR="0033454E" w:rsidRDefault="0033454E" w:rsidP="0033454E">
            <w:pPr>
              <w:jc w:val="center"/>
              <w:rPr>
                <w:rFonts w:cs="Arial"/>
                <w:b/>
                <w:color w:val="FFFFFF" w:themeColor="background1"/>
                <w:szCs w:val="20"/>
                <w:lang w:bidi="ar-SA"/>
              </w:rPr>
            </w:pPr>
            <w:r>
              <w:rPr>
                <w:rFonts w:cs="Arial"/>
                <w:b/>
                <w:color w:val="FFFFFF" w:themeColor="background1"/>
                <w:szCs w:val="20"/>
                <w:lang w:bidi="ar-SA"/>
              </w:rPr>
              <w:t>Sprayed (μ</w:t>
            </w:r>
            <w:r w:rsidRPr="00C923E1">
              <w:rPr>
                <w:rFonts w:cs="Arial"/>
                <w:b/>
                <w:color w:val="FFFFFF" w:themeColor="background1"/>
                <w:szCs w:val="20"/>
                <w:lang w:bidi="ar-SA"/>
              </w:rPr>
              <w:t>g/g</w:t>
            </w:r>
            <w:r>
              <w:rPr>
                <w:rFonts w:cs="Arial"/>
                <w:b/>
                <w:color w:val="FFFFFF" w:themeColor="background1"/>
                <w:szCs w:val="20"/>
                <w:lang w:bidi="ar-SA"/>
              </w:rPr>
              <w:t xml:space="preserve"> d</w:t>
            </w:r>
            <w:r w:rsidRPr="00C923E1">
              <w:rPr>
                <w:rFonts w:cs="Arial"/>
                <w:b/>
                <w:color w:val="FFFFFF" w:themeColor="background1"/>
                <w:szCs w:val="20"/>
                <w:lang w:bidi="ar-SA"/>
              </w:rPr>
              <w:t>w)</w:t>
            </w:r>
          </w:p>
        </w:tc>
      </w:tr>
      <w:tr w:rsidR="0033454E" w:rsidRPr="001B5342" w14:paraId="0D21A90F" w14:textId="77777777" w:rsidTr="0033454E">
        <w:trPr>
          <w:trHeight w:val="416"/>
          <w:jc w:val="center"/>
        </w:trPr>
        <w:tc>
          <w:tcPr>
            <w:tcW w:w="2414" w:type="dxa"/>
            <w:vMerge/>
            <w:shd w:val="clear" w:color="auto" w:fill="9BBB59" w:themeFill="accent3"/>
            <w:vAlign w:val="center"/>
          </w:tcPr>
          <w:p w14:paraId="29393A8A"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p>
        </w:tc>
        <w:tc>
          <w:tcPr>
            <w:tcW w:w="909" w:type="dxa"/>
            <w:vMerge/>
            <w:shd w:val="clear" w:color="auto" w:fill="9BBB59" w:themeFill="accent3"/>
          </w:tcPr>
          <w:p w14:paraId="13877F60"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p>
        </w:tc>
        <w:tc>
          <w:tcPr>
            <w:tcW w:w="919" w:type="dxa"/>
            <w:vMerge/>
            <w:shd w:val="clear" w:color="auto" w:fill="9BBB59" w:themeFill="accent3"/>
          </w:tcPr>
          <w:p w14:paraId="502E450A"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p>
        </w:tc>
        <w:tc>
          <w:tcPr>
            <w:tcW w:w="1075" w:type="dxa"/>
            <w:shd w:val="clear" w:color="auto" w:fill="9BBB59" w:themeFill="accent3"/>
            <w:vAlign w:val="center"/>
          </w:tcPr>
          <w:p w14:paraId="1A1B6F32"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Mean</w:t>
            </w:r>
          </w:p>
        </w:tc>
        <w:tc>
          <w:tcPr>
            <w:tcW w:w="1207" w:type="dxa"/>
            <w:shd w:val="clear" w:color="auto" w:fill="9BBB59" w:themeFill="accent3"/>
            <w:vAlign w:val="center"/>
          </w:tcPr>
          <w:p w14:paraId="29858D7C"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Range</w:t>
            </w:r>
          </w:p>
        </w:tc>
        <w:tc>
          <w:tcPr>
            <w:tcW w:w="997" w:type="dxa"/>
            <w:shd w:val="clear" w:color="auto" w:fill="9BBB59" w:themeFill="accent3"/>
            <w:vAlign w:val="center"/>
          </w:tcPr>
          <w:p w14:paraId="039189FE"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Mean</w:t>
            </w:r>
          </w:p>
        </w:tc>
        <w:tc>
          <w:tcPr>
            <w:tcW w:w="1129" w:type="dxa"/>
            <w:tcBorders>
              <w:right w:val="double" w:sz="4" w:space="0" w:color="auto"/>
            </w:tcBorders>
            <w:shd w:val="clear" w:color="auto" w:fill="9BBB59" w:themeFill="accent3"/>
            <w:vAlign w:val="center"/>
          </w:tcPr>
          <w:p w14:paraId="016794BE"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Range</w:t>
            </w:r>
          </w:p>
        </w:tc>
        <w:tc>
          <w:tcPr>
            <w:tcW w:w="1084" w:type="dxa"/>
            <w:tcBorders>
              <w:left w:val="double" w:sz="4" w:space="0" w:color="auto"/>
            </w:tcBorders>
            <w:shd w:val="clear" w:color="auto" w:fill="9BBB59" w:themeFill="accent3"/>
            <w:vAlign w:val="center"/>
          </w:tcPr>
          <w:p w14:paraId="7DC1EABA"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Mean</w:t>
            </w:r>
          </w:p>
        </w:tc>
        <w:tc>
          <w:tcPr>
            <w:tcW w:w="1120" w:type="dxa"/>
            <w:shd w:val="clear" w:color="auto" w:fill="9BBB59" w:themeFill="accent3"/>
            <w:vAlign w:val="center"/>
          </w:tcPr>
          <w:p w14:paraId="1356DA22"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Range</w:t>
            </w:r>
          </w:p>
        </w:tc>
        <w:tc>
          <w:tcPr>
            <w:tcW w:w="1084" w:type="dxa"/>
            <w:shd w:val="clear" w:color="auto" w:fill="9BBB59" w:themeFill="accent3"/>
            <w:vAlign w:val="center"/>
          </w:tcPr>
          <w:p w14:paraId="05FB1343"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Mean</w:t>
            </w:r>
          </w:p>
        </w:tc>
        <w:tc>
          <w:tcPr>
            <w:tcW w:w="1120" w:type="dxa"/>
            <w:shd w:val="clear" w:color="auto" w:fill="9BBB59" w:themeFill="accent3"/>
            <w:vAlign w:val="center"/>
          </w:tcPr>
          <w:p w14:paraId="0C1E9AB4" w14:textId="77777777" w:rsidR="0033454E" w:rsidRPr="00C923E1" w:rsidRDefault="0033454E" w:rsidP="0033454E">
            <w:pPr>
              <w:widowControl/>
              <w:autoSpaceDE w:val="0"/>
              <w:autoSpaceDN w:val="0"/>
              <w:adjustRightInd w:val="0"/>
              <w:jc w:val="center"/>
              <w:rPr>
                <w:rFonts w:cs="Arial"/>
                <w:b/>
                <w:color w:val="FFFFFF" w:themeColor="background1"/>
                <w:szCs w:val="20"/>
                <w:lang w:bidi="ar-SA"/>
              </w:rPr>
            </w:pPr>
            <w:r w:rsidRPr="00C923E1">
              <w:rPr>
                <w:rFonts w:cs="Arial"/>
                <w:b/>
                <w:color w:val="FFFFFF" w:themeColor="background1"/>
                <w:szCs w:val="20"/>
                <w:lang w:bidi="ar-SA"/>
              </w:rPr>
              <w:t>Range</w:t>
            </w:r>
          </w:p>
        </w:tc>
      </w:tr>
      <w:tr w:rsidR="0033454E" w:rsidRPr="001B5342" w14:paraId="4A763751" w14:textId="77777777" w:rsidTr="0033454E">
        <w:trPr>
          <w:trHeight w:val="283"/>
          <w:jc w:val="center"/>
        </w:trPr>
        <w:tc>
          <w:tcPr>
            <w:tcW w:w="2414" w:type="dxa"/>
            <w:shd w:val="clear" w:color="auto" w:fill="FFFFFF" w:themeFill="background1"/>
            <w:vAlign w:val="center"/>
          </w:tcPr>
          <w:p w14:paraId="5F5F6AB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BBCH13-15/whole plant</w:t>
            </w:r>
          </w:p>
        </w:tc>
        <w:tc>
          <w:tcPr>
            <w:tcW w:w="909" w:type="dxa"/>
            <w:shd w:val="clear" w:color="auto" w:fill="FFFFFF" w:themeFill="background1"/>
            <w:vAlign w:val="center"/>
          </w:tcPr>
          <w:p w14:paraId="6A8E704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7577618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auto"/>
            <w:vAlign w:val="center"/>
          </w:tcPr>
          <w:p w14:paraId="7FE4BE1F"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22.02</w:t>
            </w:r>
          </w:p>
        </w:tc>
        <w:tc>
          <w:tcPr>
            <w:tcW w:w="1207" w:type="dxa"/>
            <w:shd w:val="clear" w:color="auto" w:fill="FFFFFF" w:themeFill="background1"/>
            <w:vAlign w:val="center"/>
          </w:tcPr>
          <w:p w14:paraId="055E9BE2" w14:textId="77777777" w:rsidR="0033454E" w:rsidRPr="0082261D" w:rsidRDefault="0033454E" w:rsidP="0033454E">
            <w:pPr>
              <w:widowControl/>
              <w:autoSpaceDE w:val="0"/>
              <w:autoSpaceDN w:val="0"/>
              <w:adjustRightInd w:val="0"/>
              <w:rPr>
                <w:rFonts w:cs="Arial"/>
                <w:color w:val="000000" w:themeColor="text1"/>
                <w:sz w:val="18"/>
                <w:szCs w:val="18"/>
                <w:lang w:bidi="ar-SA"/>
              </w:rPr>
            </w:pPr>
            <w:r>
              <w:rPr>
                <w:rFonts w:cs="Arial"/>
                <w:color w:val="000000" w:themeColor="text1"/>
                <w:sz w:val="18"/>
                <w:szCs w:val="18"/>
                <w:lang w:bidi="ar-SA"/>
              </w:rPr>
              <w:t>14.9 – 30.8</w:t>
            </w:r>
          </w:p>
        </w:tc>
        <w:tc>
          <w:tcPr>
            <w:tcW w:w="997" w:type="dxa"/>
            <w:shd w:val="clear" w:color="auto" w:fill="FFFFFF" w:themeFill="background1"/>
            <w:vAlign w:val="center"/>
          </w:tcPr>
          <w:p w14:paraId="198EE0E1"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sidRPr="0082261D">
              <w:rPr>
                <w:rFonts w:cs="Arial"/>
                <w:color w:val="000000" w:themeColor="text1"/>
                <w:sz w:val="18"/>
                <w:szCs w:val="18"/>
                <w:lang w:bidi="ar-SA"/>
              </w:rPr>
              <w:t>35.4</w:t>
            </w:r>
          </w:p>
        </w:tc>
        <w:tc>
          <w:tcPr>
            <w:tcW w:w="1129" w:type="dxa"/>
            <w:tcBorders>
              <w:right w:val="double" w:sz="4" w:space="0" w:color="auto"/>
            </w:tcBorders>
            <w:shd w:val="clear" w:color="auto" w:fill="FFFFFF" w:themeFill="background1"/>
            <w:vAlign w:val="center"/>
          </w:tcPr>
          <w:p w14:paraId="1955DEEC"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sidRPr="0082261D">
              <w:rPr>
                <w:rFonts w:cs="Arial"/>
                <w:color w:val="000000" w:themeColor="text1"/>
                <w:sz w:val="18"/>
                <w:szCs w:val="18"/>
                <w:lang w:bidi="ar-SA"/>
              </w:rPr>
              <w:t>7.32 – 74.</w:t>
            </w:r>
            <w:r>
              <w:rPr>
                <w:rFonts w:cs="Arial"/>
                <w:color w:val="000000" w:themeColor="text1"/>
                <w:sz w:val="18"/>
                <w:szCs w:val="18"/>
                <w:lang w:bidi="ar-SA"/>
              </w:rPr>
              <w:t>4</w:t>
            </w:r>
          </w:p>
        </w:tc>
        <w:tc>
          <w:tcPr>
            <w:tcW w:w="1084" w:type="dxa"/>
            <w:tcBorders>
              <w:left w:val="double" w:sz="4" w:space="0" w:color="auto"/>
            </w:tcBorders>
            <w:shd w:val="clear" w:color="auto" w:fill="FFFFFF" w:themeFill="background1"/>
            <w:vAlign w:val="center"/>
          </w:tcPr>
          <w:p w14:paraId="0E55CCA5"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sidRPr="0082261D">
              <w:rPr>
                <w:rFonts w:cs="Arial"/>
                <w:color w:val="000000" w:themeColor="text1"/>
                <w:sz w:val="18"/>
                <w:szCs w:val="18"/>
                <w:lang w:bidi="ar-SA"/>
              </w:rPr>
              <w:t>41.16</w:t>
            </w:r>
          </w:p>
        </w:tc>
        <w:tc>
          <w:tcPr>
            <w:tcW w:w="1120" w:type="dxa"/>
            <w:shd w:val="clear" w:color="auto" w:fill="FFFFFF" w:themeFill="background1"/>
            <w:vAlign w:val="center"/>
          </w:tcPr>
          <w:p w14:paraId="0C987F4E"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sidRPr="0082261D">
              <w:rPr>
                <w:rFonts w:cs="Arial"/>
                <w:color w:val="000000" w:themeColor="text1"/>
                <w:sz w:val="18"/>
                <w:szCs w:val="18"/>
                <w:lang w:bidi="ar-SA"/>
              </w:rPr>
              <w:t>16.03 – 75.9</w:t>
            </w:r>
          </w:p>
        </w:tc>
        <w:tc>
          <w:tcPr>
            <w:tcW w:w="1084" w:type="dxa"/>
            <w:shd w:val="clear" w:color="auto" w:fill="FFFFFF" w:themeFill="background1"/>
            <w:vAlign w:val="center"/>
          </w:tcPr>
          <w:p w14:paraId="51589100"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52.09</w:t>
            </w:r>
          </w:p>
        </w:tc>
        <w:tc>
          <w:tcPr>
            <w:tcW w:w="1120" w:type="dxa"/>
            <w:shd w:val="clear" w:color="auto" w:fill="FFFFFF" w:themeFill="background1"/>
            <w:vAlign w:val="center"/>
          </w:tcPr>
          <w:p w14:paraId="4DBF99A5" w14:textId="77777777" w:rsidR="0033454E" w:rsidRPr="0082261D"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20.42 – 83.02</w:t>
            </w:r>
          </w:p>
        </w:tc>
      </w:tr>
      <w:tr w:rsidR="0033454E" w:rsidRPr="001B5342" w14:paraId="60FA2548" w14:textId="77777777" w:rsidTr="0033454E">
        <w:trPr>
          <w:trHeight w:val="283"/>
          <w:jc w:val="center"/>
        </w:trPr>
        <w:tc>
          <w:tcPr>
            <w:tcW w:w="2414" w:type="dxa"/>
            <w:shd w:val="clear" w:color="auto" w:fill="FFFFFF" w:themeFill="background1"/>
            <w:vAlign w:val="center"/>
          </w:tcPr>
          <w:p w14:paraId="3434F93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BBCH30-39/whole plant</w:t>
            </w:r>
          </w:p>
        </w:tc>
        <w:tc>
          <w:tcPr>
            <w:tcW w:w="909" w:type="dxa"/>
            <w:shd w:val="clear" w:color="auto" w:fill="FFFFFF" w:themeFill="background1"/>
            <w:vAlign w:val="center"/>
          </w:tcPr>
          <w:p w14:paraId="6F4A78B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17050ED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38174791"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24.6</w:t>
            </w:r>
          </w:p>
        </w:tc>
        <w:tc>
          <w:tcPr>
            <w:tcW w:w="1207" w:type="dxa"/>
            <w:shd w:val="clear" w:color="auto" w:fill="FFFFFF" w:themeFill="background1"/>
            <w:vAlign w:val="center"/>
          </w:tcPr>
          <w:p w14:paraId="70214A02"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9.5 – 40.7</w:t>
            </w:r>
          </w:p>
        </w:tc>
        <w:tc>
          <w:tcPr>
            <w:tcW w:w="997" w:type="dxa"/>
            <w:shd w:val="clear" w:color="auto" w:fill="FFFFFF" w:themeFill="background1"/>
            <w:vAlign w:val="center"/>
          </w:tcPr>
          <w:p w14:paraId="482121BE"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21.8</w:t>
            </w:r>
          </w:p>
        </w:tc>
        <w:tc>
          <w:tcPr>
            <w:tcW w:w="1129" w:type="dxa"/>
            <w:tcBorders>
              <w:right w:val="double" w:sz="4" w:space="0" w:color="auto"/>
            </w:tcBorders>
            <w:shd w:val="clear" w:color="auto" w:fill="FFFFFF" w:themeFill="background1"/>
            <w:vAlign w:val="center"/>
          </w:tcPr>
          <w:p w14:paraId="3A1848F8"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7.3 – 40.6</w:t>
            </w:r>
          </w:p>
        </w:tc>
        <w:tc>
          <w:tcPr>
            <w:tcW w:w="1084" w:type="dxa"/>
            <w:tcBorders>
              <w:left w:val="double" w:sz="4" w:space="0" w:color="auto"/>
            </w:tcBorders>
            <w:shd w:val="clear" w:color="auto" w:fill="FFFFFF" w:themeFill="background1"/>
            <w:vAlign w:val="center"/>
          </w:tcPr>
          <w:p w14:paraId="50B42EDB"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22.7</w:t>
            </w:r>
          </w:p>
        </w:tc>
        <w:tc>
          <w:tcPr>
            <w:tcW w:w="1120" w:type="dxa"/>
            <w:shd w:val="clear" w:color="auto" w:fill="FFFFFF" w:themeFill="background1"/>
            <w:vAlign w:val="center"/>
          </w:tcPr>
          <w:p w14:paraId="2B765C74"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8.2 – 61.8</w:t>
            </w:r>
          </w:p>
        </w:tc>
        <w:tc>
          <w:tcPr>
            <w:tcW w:w="1084" w:type="dxa"/>
            <w:shd w:val="clear" w:color="auto" w:fill="FFFFFF" w:themeFill="background1"/>
            <w:vAlign w:val="center"/>
          </w:tcPr>
          <w:p w14:paraId="76C5A042"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25.2</w:t>
            </w:r>
          </w:p>
        </w:tc>
        <w:tc>
          <w:tcPr>
            <w:tcW w:w="1120" w:type="dxa"/>
            <w:shd w:val="clear" w:color="auto" w:fill="FFFFFF" w:themeFill="background1"/>
            <w:vAlign w:val="center"/>
          </w:tcPr>
          <w:p w14:paraId="16A2072E"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12.9 – 37.6</w:t>
            </w:r>
          </w:p>
        </w:tc>
      </w:tr>
      <w:tr w:rsidR="0033454E" w:rsidRPr="001B5342" w14:paraId="0EF6CC65" w14:textId="77777777" w:rsidTr="0033454E">
        <w:trPr>
          <w:trHeight w:val="283"/>
          <w:jc w:val="center"/>
        </w:trPr>
        <w:tc>
          <w:tcPr>
            <w:tcW w:w="2414" w:type="dxa"/>
            <w:shd w:val="clear" w:color="auto" w:fill="FFFFFF" w:themeFill="background1"/>
            <w:vAlign w:val="center"/>
          </w:tcPr>
          <w:p w14:paraId="7775367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BBCH30-39/root</w:t>
            </w:r>
          </w:p>
        </w:tc>
        <w:tc>
          <w:tcPr>
            <w:tcW w:w="909" w:type="dxa"/>
            <w:shd w:val="clear" w:color="auto" w:fill="FFFFFF" w:themeFill="background1"/>
            <w:vAlign w:val="center"/>
          </w:tcPr>
          <w:p w14:paraId="66B8327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0.02</w:t>
            </w:r>
          </w:p>
        </w:tc>
        <w:tc>
          <w:tcPr>
            <w:tcW w:w="919" w:type="dxa"/>
            <w:shd w:val="clear" w:color="auto" w:fill="FFFFFF" w:themeFill="background1"/>
            <w:vAlign w:val="center"/>
          </w:tcPr>
          <w:p w14:paraId="4376314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0.02</w:t>
            </w:r>
          </w:p>
        </w:tc>
        <w:tc>
          <w:tcPr>
            <w:tcW w:w="1075" w:type="dxa"/>
            <w:shd w:val="clear" w:color="auto" w:fill="FFFFFF" w:themeFill="background1"/>
            <w:vAlign w:val="center"/>
          </w:tcPr>
          <w:p w14:paraId="284DC717"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w:t>
            </w:r>
            <w:r>
              <w:rPr>
                <w:rFonts w:cs="Arial"/>
                <w:color w:val="000000" w:themeColor="text1"/>
                <w:sz w:val="18"/>
                <w:szCs w:val="18"/>
                <w:lang w:bidi="ar-SA"/>
              </w:rPr>
              <w:t>17</w:t>
            </w:r>
          </w:p>
        </w:tc>
        <w:tc>
          <w:tcPr>
            <w:tcW w:w="1207" w:type="dxa"/>
            <w:shd w:val="clear" w:color="auto" w:fill="FFFFFF" w:themeFill="background1"/>
            <w:vAlign w:val="center"/>
          </w:tcPr>
          <w:p w14:paraId="4ADB83B6"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0.1</w:t>
            </w:r>
            <w:r>
              <w:rPr>
                <w:rFonts w:cs="Arial"/>
                <w:color w:val="000000" w:themeColor="text1"/>
                <w:sz w:val="18"/>
                <w:szCs w:val="18"/>
                <w:lang w:bidi="ar-SA"/>
              </w:rPr>
              <w:t>5</w:t>
            </w:r>
            <w:r w:rsidRPr="006B7CE1">
              <w:rPr>
                <w:rFonts w:cs="Arial"/>
                <w:color w:val="000000" w:themeColor="text1"/>
                <w:sz w:val="18"/>
                <w:szCs w:val="18"/>
                <w:lang w:bidi="ar-SA"/>
              </w:rPr>
              <w:t xml:space="preserve"> – 0.2</w:t>
            </w:r>
          </w:p>
        </w:tc>
        <w:tc>
          <w:tcPr>
            <w:tcW w:w="997" w:type="dxa"/>
            <w:shd w:val="clear" w:color="auto" w:fill="FFFFFF" w:themeFill="background1"/>
            <w:vAlign w:val="center"/>
          </w:tcPr>
          <w:p w14:paraId="6258CC75"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0.3</w:t>
            </w:r>
            <w:r>
              <w:rPr>
                <w:rFonts w:cs="Arial"/>
                <w:color w:val="000000" w:themeColor="text1"/>
                <w:sz w:val="18"/>
                <w:szCs w:val="18"/>
                <w:lang w:bidi="ar-SA"/>
              </w:rPr>
              <w:t>9</w:t>
            </w:r>
          </w:p>
        </w:tc>
        <w:tc>
          <w:tcPr>
            <w:tcW w:w="1129" w:type="dxa"/>
            <w:tcBorders>
              <w:right w:val="double" w:sz="4" w:space="0" w:color="auto"/>
            </w:tcBorders>
            <w:shd w:val="clear" w:color="auto" w:fill="FFFFFF" w:themeFill="background1"/>
            <w:vAlign w:val="center"/>
          </w:tcPr>
          <w:p w14:paraId="03A8A190"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0.1</w:t>
            </w:r>
            <w:r>
              <w:rPr>
                <w:rFonts w:cs="Arial"/>
                <w:color w:val="000000" w:themeColor="text1"/>
                <w:sz w:val="18"/>
                <w:szCs w:val="18"/>
                <w:lang w:bidi="ar-SA"/>
              </w:rPr>
              <w:t>8</w:t>
            </w:r>
            <w:r w:rsidRPr="006B7CE1">
              <w:rPr>
                <w:rFonts w:cs="Arial"/>
                <w:color w:val="000000" w:themeColor="text1"/>
                <w:sz w:val="18"/>
                <w:szCs w:val="18"/>
                <w:lang w:bidi="ar-SA"/>
              </w:rPr>
              <w:t xml:space="preserve"> – 0.6</w:t>
            </w:r>
            <w:r>
              <w:rPr>
                <w:rFonts w:cs="Arial"/>
                <w:color w:val="000000" w:themeColor="text1"/>
                <w:sz w:val="18"/>
                <w:szCs w:val="18"/>
                <w:lang w:bidi="ar-SA"/>
              </w:rPr>
              <w:t>4</w:t>
            </w:r>
          </w:p>
        </w:tc>
        <w:tc>
          <w:tcPr>
            <w:tcW w:w="1084" w:type="dxa"/>
            <w:tcBorders>
              <w:left w:val="double" w:sz="4" w:space="0" w:color="auto"/>
            </w:tcBorders>
            <w:shd w:val="clear" w:color="auto" w:fill="FFFFFF" w:themeFill="background1"/>
            <w:vAlign w:val="center"/>
          </w:tcPr>
          <w:p w14:paraId="774ACADB"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0.9</w:t>
            </w:r>
            <w:r>
              <w:rPr>
                <w:rFonts w:cs="Arial"/>
                <w:color w:val="000000" w:themeColor="text1"/>
                <w:sz w:val="18"/>
                <w:szCs w:val="18"/>
                <w:lang w:bidi="ar-SA"/>
              </w:rPr>
              <w:t>7</w:t>
            </w:r>
          </w:p>
        </w:tc>
        <w:tc>
          <w:tcPr>
            <w:tcW w:w="1120" w:type="dxa"/>
            <w:shd w:val="clear" w:color="auto" w:fill="FFFFFF" w:themeFill="background1"/>
            <w:vAlign w:val="center"/>
          </w:tcPr>
          <w:p w14:paraId="0B552095"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0.4 – 2.3</w:t>
            </w:r>
          </w:p>
        </w:tc>
        <w:tc>
          <w:tcPr>
            <w:tcW w:w="1084" w:type="dxa"/>
            <w:shd w:val="clear" w:color="auto" w:fill="FFFFFF" w:themeFill="background1"/>
            <w:vAlign w:val="center"/>
          </w:tcPr>
          <w:p w14:paraId="5BCFB2B1"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2.3</w:t>
            </w:r>
            <w:r>
              <w:rPr>
                <w:rFonts w:cs="Arial"/>
                <w:color w:val="000000" w:themeColor="text1"/>
                <w:sz w:val="18"/>
                <w:szCs w:val="18"/>
                <w:lang w:bidi="ar-SA"/>
              </w:rPr>
              <w:t>5</w:t>
            </w:r>
          </w:p>
        </w:tc>
        <w:tc>
          <w:tcPr>
            <w:tcW w:w="1120" w:type="dxa"/>
            <w:shd w:val="clear" w:color="auto" w:fill="FFFFFF" w:themeFill="background1"/>
            <w:vAlign w:val="center"/>
          </w:tcPr>
          <w:p w14:paraId="4A0723D7"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0.5</w:t>
            </w:r>
            <w:r>
              <w:rPr>
                <w:rFonts w:cs="Arial"/>
                <w:color w:val="000000" w:themeColor="text1"/>
                <w:sz w:val="18"/>
                <w:szCs w:val="18"/>
                <w:lang w:bidi="ar-SA"/>
              </w:rPr>
              <w:t>6</w:t>
            </w:r>
            <w:r w:rsidRPr="006B7CE1">
              <w:rPr>
                <w:rFonts w:cs="Arial"/>
                <w:color w:val="000000" w:themeColor="text1"/>
                <w:sz w:val="18"/>
                <w:szCs w:val="18"/>
                <w:lang w:bidi="ar-SA"/>
              </w:rPr>
              <w:t xml:space="preserve"> – 19.5</w:t>
            </w:r>
          </w:p>
        </w:tc>
      </w:tr>
      <w:tr w:rsidR="0033454E" w:rsidRPr="001B5342" w14:paraId="68CB60AC" w14:textId="77777777" w:rsidTr="0033454E">
        <w:trPr>
          <w:trHeight w:val="283"/>
          <w:jc w:val="center"/>
        </w:trPr>
        <w:tc>
          <w:tcPr>
            <w:tcW w:w="2414" w:type="dxa"/>
            <w:shd w:val="clear" w:color="auto" w:fill="FFFFFF" w:themeFill="background1"/>
            <w:vAlign w:val="center"/>
          </w:tcPr>
          <w:p w14:paraId="2D0BF7A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BBCH57-65/whole plant</w:t>
            </w:r>
          </w:p>
        </w:tc>
        <w:tc>
          <w:tcPr>
            <w:tcW w:w="909" w:type="dxa"/>
            <w:shd w:val="clear" w:color="auto" w:fill="FFFFFF" w:themeFill="background1"/>
            <w:vAlign w:val="center"/>
          </w:tcPr>
          <w:p w14:paraId="3F2803D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7D28A1A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1ACE6D3F" w14:textId="77777777" w:rsidR="0033454E" w:rsidRPr="006B7CE1" w:rsidRDefault="0033454E" w:rsidP="0033454E">
            <w:pPr>
              <w:widowControl/>
              <w:autoSpaceDE w:val="0"/>
              <w:autoSpaceDN w:val="0"/>
              <w:adjustRightInd w:val="0"/>
              <w:jc w:val="center"/>
              <w:rPr>
                <w:rFonts w:cs="Arial"/>
                <w:color w:val="000000" w:themeColor="text1"/>
                <w:sz w:val="18"/>
                <w:szCs w:val="18"/>
                <w:vertAlign w:val="superscript"/>
                <w:lang w:bidi="ar-SA"/>
              </w:rPr>
            </w:pPr>
            <w:r w:rsidRPr="006B7CE1">
              <w:rPr>
                <w:rFonts w:cs="Arial"/>
                <w:color w:val="000000" w:themeColor="text1"/>
                <w:sz w:val="18"/>
                <w:szCs w:val="18"/>
                <w:lang w:bidi="ar-SA"/>
              </w:rPr>
              <w:t>18.9</w:t>
            </w:r>
          </w:p>
        </w:tc>
        <w:tc>
          <w:tcPr>
            <w:tcW w:w="1207" w:type="dxa"/>
            <w:shd w:val="clear" w:color="auto" w:fill="FFFFFF" w:themeFill="background1"/>
            <w:vAlign w:val="center"/>
          </w:tcPr>
          <w:p w14:paraId="7C41BAD0"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7.9 – 24.5</w:t>
            </w:r>
          </w:p>
        </w:tc>
        <w:tc>
          <w:tcPr>
            <w:tcW w:w="997" w:type="dxa"/>
            <w:shd w:val="clear" w:color="auto" w:fill="FFFFFF" w:themeFill="background1"/>
            <w:vAlign w:val="center"/>
          </w:tcPr>
          <w:p w14:paraId="00A8AEDC"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14.8</w:t>
            </w:r>
          </w:p>
        </w:tc>
        <w:tc>
          <w:tcPr>
            <w:tcW w:w="1129" w:type="dxa"/>
            <w:tcBorders>
              <w:right w:val="double" w:sz="4" w:space="0" w:color="auto"/>
            </w:tcBorders>
            <w:shd w:val="clear" w:color="auto" w:fill="FFFFFF" w:themeFill="background1"/>
            <w:vAlign w:val="center"/>
          </w:tcPr>
          <w:p w14:paraId="6248D39C"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6.1 – 27.5</w:t>
            </w:r>
          </w:p>
        </w:tc>
        <w:tc>
          <w:tcPr>
            <w:tcW w:w="1084" w:type="dxa"/>
            <w:tcBorders>
              <w:left w:val="double" w:sz="4" w:space="0" w:color="auto"/>
            </w:tcBorders>
            <w:shd w:val="clear" w:color="auto" w:fill="FFFFFF" w:themeFill="background1"/>
            <w:vAlign w:val="center"/>
          </w:tcPr>
          <w:p w14:paraId="1EEAEF87"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22.5</w:t>
            </w:r>
          </w:p>
        </w:tc>
        <w:tc>
          <w:tcPr>
            <w:tcW w:w="1120" w:type="dxa"/>
            <w:shd w:val="clear" w:color="auto" w:fill="FFFFFF" w:themeFill="background1"/>
            <w:vAlign w:val="center"/>
          </w:tcPr>
          <w:p w14:paraId="35F3C38B"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8.5 – 42.1</w:t>
            </w:r>
          </w:p>
        </w:tc>
        <w:tc>
          <w:tcPr>
            <w:tcW w:w="1084" w:type="dxa"/>
            <w:shd w:val="clear" w:color="auto" w:fill="FFFFFF" w:themeFill="background1"/>
            <w:vAlign w:val="center"/>
          </w:tcPr>
          <w:p w14:paraId="63A1797F"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28.0</w:t>
            </w:r>
          </w:p>
        </w:tc>
        <w:tc>
          <w:tcPr>
            <w:tcW w:w="1120" w:type="dxa"/>
            <w:shd w:val="clear" w:color="auto" w:fill="FFFFFF" w:themeFill="background1"/>
            <w:vAlign w:val="center"/>
          </w:tcPr>
          <w:p w14:paraId="44BEDA59"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12.3 – 59.3</w:t>
            </w:r>
          </w:p>
        </w:tc>
      </w:tr>
      <w:tr w:rsidR="0033454E" w:rsidRPr="001B5342" w14:paraId="45602A28" w14:textId="77777777" w:rsidTr="0033454E">
        <w:trPr>
          <w:trHeight w:val="283"/>
          <w:jc w:val="center"/>
        </w:trPr>
        <w:tc>
          <w:tcPr>
            <w:tcW w:w="2414" w:type="dxa"/>
            <w:shd w:val="clear" w:color="auto" w:fill="FFFFFF" w:themeFill="background1"/>
            <w:vAlign w:val="center"/>
          </w:tcPr>
          <w:p w14:paraId="5D48863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BBCH57-65/root</w:t>
            </w:r>
          </w:p>
        </w:tc>
        <w:tc>
          <w:tcPr>
            <w:tcW w:w="909" w:type="dxa"/>
            <w:shd w:val="clear" w:color="auto" w:fill="FFFFFF" w:themeFill="background1"/>
            <w:vAlign w:val="center"/>
          </w:tcPr>
          <w:p w14:paraId="4252D79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0.02</w:t>
            </w:r>
          </w:p>
        </w:tc>
        <w:tc>
          <w:tcPr>
            <w:tcW w:w="919" w:type="dxa"/>
            <w:shd w:val="clear" w:color="auto" w:fill="FFFFFF" w:themeFill="background1"/>
            <w:vAlign w:val="center"/>
          </w:tcPr>
          <w:p w14:paraId="7F26426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0.02</w:t>
            </w:r>
          </w:p>
        </w:tc>
        <w:tc>
          <w:tcPr>
            <w:tcW w:w="1075" w:type="dxa"/>
            <w:shd w:val="clear" w:color="auto" w:fill="FFFFFF" w:themeFill="background1"/>
            <w:vAlign w:val="center"/>
          </w:tcPr>
          <w:p w14:paraId="79CE553D"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0.1</w:t>
            </w:r>
            <w:r>
              <w:rPr>
                <w:rFonts w:cs="Arial"/>
                <w:color w:val="000000" w:themeColor="text1"/>
                <w:sz w:val="18"/>
                <w:szCs w:val="18"/>
                <w:lang w:bidi="ar-SA"/>
              </w:rPr>
              <w:t>7</w:t>
            </w:r>
          </w:p>
        </w:tc>
        <w:tc>
          <w:tcPr>
            <w:tcW w:w="1207" w:type="dxa"/>
            <w:shd w:val="clear" w:color="auto" w:fill="FFFFFF" w:themeFill="background1"/>
            <w:vAlign w:val="center"/>
          </w:tcPr>
          <w:p w14:paraId="7BA8EDAF"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&lt;LOQ – 0.1</w:t>
            </w:r>
          </w:p>
        </w:tc>
        <w:tc>
          <w:tcPr>
            <w:tcW w:w="997" w:type="dxa"/>
            <w:shd w:val="clear" w:color="auto" w:fill="FFFFFF" w:themeFill="background1"/>
            <w:vAlign w:val="center"/>
          </w:tcPr>
          <w:p w14:paraId="1AB33B67"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0.3</w:t>
            </w:r>
            <w:r>
              <w:rPr>
                <w:rFonts w:cs="Arial"/>
                <w:color w:val="000000" w:themeColor="text1"/>
                <w:sz w:val="18"/>
                <w:szCs w:val="18"/>
                <w:lang w:bidi="ar-SA"/>
              </w:rPr>
              <w:t>7</w:t>
            </w:r>
          </w:p>
        </w:tc>
        <w:tc>
          <w:tcPr>
            <w:tcW w:w="1129" w:type="dxa"/>
            <w:tcBorders>
              <w:right w:val="double" w:sz="4" w:space="0" w:color="auto"/>
            </w:tcBorders>
            <w:shd w:val="clear" w:color="auto" w:fill="FFFFFF" w:themeFill="background1"/>
            <w:vAlign w:val="center"/>
          </w:tcPr>
          <w:p w14:paraId="68FA9663"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0.1 – 0.7</w:t>
            </w:r>
          </w:p>
        </w:tc>
        <w:tc>
          <w:tcPr>
            <w:tcW w:w="1084" w:type="dxa"/>
            <w:tcBorders>
              <w:left w:val="double" w:sz="4" w:space="0" w:color="auto"/>
            </w:tcBorders>
            <w:shd w:val="clear" w:color="auto" w:fill="FFFFFF" w:themeFill="background1"/>
            <w:vAlign w:val="center"/>
          </w:tcPr>
          <w:p w14:paraId="7068481A"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0.7</w:t>
            </w:r>
            <w:r>
              <w:rPr>
                <w:rFonts w:cs="Arial"/>
                <w:color w:val="000000" w:themeColor="text1"/>
                <w:sz w:val="18"/>
                <w:szCs w:val="18"/>
                <w:lang w:bidi="ar-SA"/>
              </w:rPr>
              <w:t>4</w:t>
            </w:r>
          </w:p>
        </w:tc>
        <w:tc>
          <w:tcPr>
            <w:tcW w:w="1120" w:type="dxa"/>
            <w:shd w:val="clear" w:color="auto" w:fill="FFFFFF" w:themeFill="background1"/>
            <w:vAlign w:val="center"/>
          </w:tcPr>
          <w:p w14:paraId="6BA2FC1D"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0.2 – 1.3</w:t>
            </w:r>
          </w:p>
        </w:tc>
        <w:tc>
          <w:tcPr>
            <w:tcW w:w="1084" w:type="dxa"/>
            <w:shd w:val="clear" w:color="auto" w:fill="FFFFFF" w:themeFill="background1"/>
            <w:vAlign w:val="center"/>
          </w:tcPr>
          <w:p w14:paraId="66AEC950"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0.7</w:t>
            </w:r>
            <w:r>
              <w:rPr>
                <w:rFonts w:cs="Arial"/>
                <w:color w:val="000000" w:themeColor="text1"/>
                <w:sz w:val="18"/>
                <w:szCs w:val="18"/>
                <w:lang w:bidi="ar-SA"/>
              </w:rPr>
              <w:t>5</w:t>
            </w:r>
          </w:p>
        </w:tc>
        <w:tc>
          <w:tcPr>
            <w:tcW w:w="1120" w:type="dxa"/>
            <w:shd w:val="clear" w:color="auto" w:fill="FFFFFF" w:themeFill="background1"/>
            <w:vAlign w:val="center"/>
          </w:tcPr>
          <w:p w14:paraId="5A6DE7BD" w14:textId="77777777" w:rsidR="0033454E" w:rsidRPr="006B7CE1" w:rsidRDefault="0033454E" w:rsidP="0033454E">
            <w:pPr>
              <w:widowControl/>
              <w:autoSpaceDE w:val="0"/>
              <w:autoSpaceDN w:val="0"/>
              <w:adjustRightInd w:val="0"/>
              <w:jc w:val="center"/>
              <w:rPr>
                <w:rFonts w:cs="Arial"/>
                <w:color w:val="000000" w:themeColor="text1"/>
                <w:sz w:val="18"/>
                <w:szCs w:val="18"/>
                <w:lang w:bidi="ar-SA"/>
              </w:rPr>
            </w:pPr>
            <w:r w:rsidRPr="006B7CE1">
              <w:rPr>
                <w:rFonts w:cs="Arial"/>
                <w:color w:val="000000" w:themeColor="text1"/>
                <w:sz w:val="18"/>
                <w:szCs w:val="18"/>
                <w:lang w:bidi="ar-SA"/>
              </w:rPr>
              <w:t>0.3 – 1.4</w:t>
            </w:r>
          </w:p>
        </w:tc>
      </w:tr>
      <w:tr w:rsidR="0033454E" w:rsidRPr="001B5342" w14:paraId="6E64AE56" w14:textId="77777777" w:rsidTr="0033454E">
        <w:trPr>
          <w:trHeight w:val="283"/>
          <w:jc w:val="center"/>
        </w:trPr>
        <w:tc>
          <w:tcPr>
            <w:tcW w:w="2414" w:type="dxa"/>
            <w:shd w:val="clear" w:color="auto" w:fill="FFFFFF" w:themeFill="background1"/>
            <w:vAlign w:val="center"/>
          </w:tcPr>
          <w:p w14:paraId="153E1AF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BBCH57-65/raceme</w:t>
            </w:r>
          </w:p>
        </w:tc>
        <w:tc>
          <w:tcPr>
            <w:tcW w:w="909" w:type="dxa"/>
            <w:shd w:val="clear" w:color="auto" w:fill="FFFFFF" w:themeFill="background1"/>
            <w:vAlign w:val="center"/>
          </w:tcPr>
          <w:p w14:paraId="0A9D7F2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5723B39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0FAD7915"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13.9</w:t>
            </w:r>
          </w:p>
        </w:tc>
        <w:tc>
          <w:tcPr>
            <w:tcW w:w="1207" w:type="dxa"/>
            <w:shd w:val="clear" w:color="auto" w:fill="FFFFFF" w:themeFill="background1"/>
            <w:vAlign w:val="center"/>
          </w:tcPr>
          <w:p w14:paraId="0D0ACA36"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12.5 – 16.0</w:t>
            </w:r>
          </w:p>
        </w:tc>
        <w:tc>
          <w:tcPr>
            <w:tcW w:w="997" w:type="dxa"/>
            <w:shd w:val="clear" w:color="auto" w:fill="FFFFFF" w:themeFill="background1"/>
            <w:vAlign w:val="center"/>
          </w:tcPr>
          <w:p w14:paraId="71FC3A34"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23.9</w:t>
            </w:r>
          </w:p>
        </w:tc>
        <w:tc>
          <w:tcPr>
            <w:tcW w:w="1129" w:type="dxa"/>
            <w:tcBorders>
              <w:right w:val="double" w:sz="4" w:space="0" w:color="auto"/>
            </w:tcBorders>
            <w:shd w:val="clear" w:color="auto" w:fill="FFFFFF" w:themeFill="background1"/>
            <w:vAlign w:val="center"/>
          </w:tcPr>
          <w:p w14:paraId="7451CCC1"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9.3 – 55.2</w:t>
            </w:r>
          </w:p>
        </w:tc>
        <w:tc>
          <w:tcPr>
            <w:tcW w:w="1084" w:type="dxa"/>
            <w:tcBorders>
              <w:left w:val="double" w:sz="4" w:space="0" w:color="auto"/>
            </w:tcBorders>
            <w:shd w:val="clear" w:color="auto" w:fill="FFFFFF" w:themeFill="background1"/>
            <w:vAlign w:val="center"/>
          </w:tcPr>
          <w:p w14:paraId="01290FAA"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30.7</w:t>
            </w:r>
          </w:p>
        </w:tc>
        <w:tc>
          <w:tcPr>
            <w:tcW w:w="1120" w:type="dxa"/>
            <w:shd w:val="clear" w:color="auto" w:fill="FFFFFF" w:themeFill="background1"/>
            <w:vAlign w:val="center"/>
          </w:tcPr>
          <w:p w14:paraId="1F4A9080"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18.1 – 75.6</w:t>
            </w:r>
          </w:p>
        </w:tc>
        <w:tc>
          <w:tcPr>
            <w:tcW w:w="1084" w:type="dxa"/>
            <w:shd w:val="clear" w:color="auto" w:fill="FFFFFF" w:themeFill="background1"/>
            <w:vAlign w:val="center"/>
          </w:tcPr>
          <w:p w14:paraId="0A964AA2"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41.9</w:t>
            </w:r>
          </w:p>
        </w:tc>
        <w:tc>
          <w:tcPr>
            <w:tcW w:w="1120" w:type="dxa"/>
            <w:shd w:val="clear" w:color="auto" w:fill="FFFFFF" w:themeFill="background1"/>
            <w:vAlign w:val="center"/>
          </w:tcPr>
          <w:p w14:paraId="42B9D672"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17.0 – 108.1</w:t>
            </w:r>
          </w:p>
        </w:tc>
      </w:tr>
      <w:tr w:rsidR="0033454E" w:rsidRPr="001B5342" w14:paraId="7A487B24" w14:textId="77777777" w:rsidTr="0033454E">
        <w:trPr>
          <w:trHeight w:val="283"/>
          <w:jc w:val="center"/>
        </w:trPr>
        <w:tc>
          <w:tcPr>
            <w:tcW w:w="2414" w:type="dxa"/>
            <w:shd w:val="clear" w:color="auto" w:fill="FFFFFF" w:themeFill="background1"/>
            <w:vAlign w:val="center"/>
          </w:tcPr>
          <w:p w14:paraId="2781167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Maturity/seed</w:t>
            </w:r>
          </w:p>
        </w:tc>
        <w:tc>
          <w:tcPr>
            <w:tcW w:w="909" w:type="dxa"/>
            <w:shd w:val="clear" w:color="auto" w:fill="FFFFFF" w:themeFill="background1"/>
            <w:vAlign w:val="center"/>
          </w:tcPr>
          <w:p w14:paraId="1E47015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250B05A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32E3AC9C"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0.3</w:t>
            </w:r>
          </w:p>
        </w:tc>
        <w:tc>
          <w:tcPr>
            <w:tcW w:w="1207" w:type="dxa"/>
            <w:shd w:val="clear" w:color="auto" w:fill="FFFFFF" w:themeFill="background1"/>
            <w:vAlign w:val="center"/>
          </w:tcPr>
          <w:p w14:paraId="63619C36"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0.06 – 0.5</w:t>
            </w:r>
          </w:p>
        </w:tc>
        <w:tc>
          <w:tcPr>
            <w:tcW w:w="997" w:type="dxa"/>
            <w:shd w:val="clear" w:color="auto" w:fill="FFFFFF" w:themeFill="background1"/>
            <w:vAlign w:val="center"/>
          </w:tcPr>
          <w:p w14:paraId="32B29EA8"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0.4</w:t>
            </w:r>
          </w:p>
        </w:tc>
        <w:tc>
          <w:tcPr>
            <w:tcW w:w="1129" w:type="dxa"/>
            <w:tcBorders>
              <w:right w:val="double" w:sz="4" w:space="0" w:color="auto"/>
            </w:tcBorders>
            <w:shd w:val="clear" w:color="auto" w:fill="FFFFFF" w:themeFill="background1"/>
            <w:vAlign w:val="center"/>
          </w:tcPr>
          <w:p w14:paraId="097D611C"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0.3 – 0.8</w:t>
            </w:r>
          </w:p>
        </w:tc>
        <w:tc>
          <w:tcPr>
            <w:tcW w:w="1084" w:type="dxa"/>
            <w:tcBorders>
              <w:left w:val="double" w:sz="4" w:space="0" w:color="auto"/>
            </w:tcBorders>
            <w:shd w:val="clear" w:color="auto" w:fill="FFFFFF" w:themeFill="background1"/>
            <w:vAlign w:val="center"/>
          </w:tcPr>
          <w:p w14:paraId="2A032CFD"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0.6</w:t>
            </w:r>
          </w:p>
        </w:tc>
        <w:tc>
          <w:tcPr>
            <w:tcW w:w="1120" w:type="dxa"/>
            <w:shd w:val="clear" w:color="auto" w:fill="FFFFFF" w:themeFill="background1"/>
            <w:vAlign w:val="center"/>
          </w:tcPr>
          <w:p w14:paraId="56E1BA21"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0.2 – 1.0</w:t>
            </w:r>
          </w:p>
        </w:tc>
        <w:tc>
          <w:tcPr>
            <w:tcW w:w="1084" w:type="dxa"/>
            <w:shd w:val="clear" w:color="auto" w:fill="FFFFFF" w:themeFill="background1"/>
            <w:vAlign w:val="center"/>
          </w:tcPr>
          <w:p w14:paraId="2CAE641F"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0.6</w:t>
            </w:r>
          </w:p>
        </w:tc>
        <w:tc>
          <w:tcPr>
            <w:tcW w:w="1120" w:type="dxa"/>
            <w:shd w:val="clear" w:color="auto" w:fill="FFFFFF" w:themeFill="background1"/>
            <w:vAlign w:val="center"/>
          </w:tcPr>
          <w:p w14:paraId="3943D4D3" w14:textId="77777777" w:rsidR="0033454E" w:rsidRPr="00DB3100" w:rsidRDefault="0033454E" w:rsidP="0033454E">
            <w:pPr>
              <w:widowControl/>
              <w:autoSpaceDE w:val="0"/>
              <w:autoSpaceDN w:val="0"/>
              <w:adjustRightInd w:val="0"/>
              <w:jc w:val="center"/>
              <w:rPr>
                <w:rFonts w:cs="Arial"/>
                <w:color w:val="000000" w:themeColor="text1"/>
                <w:sz w:val="18"/>
                <w:szCs w:val="18"/>
                <w:lang w:bidi="ar-SA"/>
              </w:rPr>
            </w:pPr>
            <w:r w:rsidRPr="00DB3100">
              <w:rPr>
                <w:rFonts w:cs="Arial"/>
                <w:color w:val="000000" w:themeColor="text1"/>
                <w:sz w:val="18"/>
                <w:szCs w:val="18"/>
                <w:lang w:bidi="ar-SA"/>
              </w:rPr>
              <w:t>0.2 – 1.1</w:t>
            </w:r>
          </w:p>
        </w:tc>
      </w:tr>
      <w:tr w:rsidR="0033454E" w:rsidRPr="001B5342" w14:paraId="50706464" w14:textId="77777777" w:rsidTr="0033454E">
        <w:trPr>
          <w:trHeight w:val="113"/>
          <w:jc w:val="center"/>
        </w:trPr>
        <w:tc>
          <w:tcPr>
            <w:tcW w:w="2414" w:type="dxa"/>
            <w:shd w:val="clear" w:color="auto" w:fill="76923C" w:themeFill="accent3" w:themeFillShade="BF"/>
            <w:vAlign w:val="center"/>
          </w:tcPr>
          <w:p w14:paraId="49A901C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6A5A88">
              <w:rPr>
                <w:rFonts w:cs="Arial"/>
                <w:noProof/>
                <w:color w:val="000000" w:themeColor="text1"/>
                <w:sz w:val="18"/>
                <w:szCs w:val="18"/>
                <w:lang w:bidi="ar-SA"/>
              </w:rPr>
              <mc:AlternateContent>
                <mc:Choice Requires="wps">
                  <w:drawing>
                    <wp:anchor distT="0" distB="0" distL="114300" distR="114300" simplePos="0" relativeHeight="251660288" behindDoc="0" locked="0" layoutInCell="1" allowOverlap="1" wp14:anchorId="0FE60387" wp14:editId="0622090B">
                      <wp:simplePos x="0" y="0"/>
                      <wp:positionH relativeFrom="column">
                        <wp:posOffset>-39370</wp:posOffset>
                      </wp:positionH>
                      <wp:positionV relativeFrom="paragraph">
                        <wp:posOffset>113030</wp:posOffset>
                      </wp:positionV>
                      <wp:extent cx="809625" cy="1403985"/>
                      <wp:effectExtent l="762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9625" cy="1403985"/>
                              </a:xfrm>
                              <a:prstGeom prst="rect">
                                <a:avLst/>
                              </a:prstGeom>
                              <a:solidFill>
                                <a:srgbClr val="FFFFFF"/>
                              </a:solidFill>
                              <a:ln w="9525">
                                <a:noFill/>
                                <a:miter lim="800000"/>
                                <a:headEnd/>
                                <a:tailEnd/>
                              </a:ln>
                            </wps:spPr>
                            <wps:txbx>
                              <w:txbxContent>
                                <w:p w14:paraId="280B70D9" w14:textId="77777777" w:rsidR="00A35DB9" w:rsidRPr="006A5A88" w:rsidRDefault="00A35DB9" w:rsidP="0033454E">
                                  <w:pPr>
                                    <w:rPr>
                                      <w:b/>
                                    </w:rPr>
                                  </w:pPr>
                                  <w:r w:rsidRPr="006A5A88">
                                    <w:rPr>
                                      <w:b/>
                                    </w:rPr>
                                    <w:t>Barnase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E60387" id="_x0000_s1027" type="#_x0000_t202" style="position:absolute;left:0;text-align:left;margin-left:-3.1pt;margin-top:8.9pt;width:63.75pt;height:110.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" stroked="f">
                      <v:textbox style="mso-fit-shape-to-text:t">
                        <w:txbxContent>
                          <w:p w14:paraId="280B70D9" w14:textId="77777777" w:rsidR="00A35DB9" w:rsidRPr="006A5A88" w:rsidRDefault="00A35DB9" w:rsidP="0033454E">
                            <w:pPr>
                              <w:rPr>
                                <w:b/>
                              </w:rPr>
                            </w:pPr>
                            <w:r w:rsidRPr="006A5A88">
                              <w:rPr>
                                <w:b/>
                              </w:rPr>
                              <w:t>Barnase</w:t>
                            </w:r>
                          </w:p>
                        </w:txbxContent>
                      </v:textbox>
                    </v:shape>
                  </w:pict>
                </mc:Fallback>
              </mc:AlternateContent>
            </w:r>
          </w:p>
        </w:tc>
        <w:tc>
          <w:tcPr>
            <w:tcW w:w="909" w:type="dxa"/>
            <w:shd w:val="clear" w:color="auto" w:fill="76923C" w:themeFill="accent3" w:themeFillShade="BF"/>
            <w:vAlign w:val="center"/>
          </w:tcPr>
          <w:p w14:paraId="73B5DFC5" w14:textId="77777777" w:rsidR="0033454E" w:rsidRDefault="0033454E" w:rsidP="0033454E">
            <w:pPr>
              <w:widowControl/>
              <w:autoSpaceDE w:val="0"/>
              <w:autoSpaceDN w:val="0"/>
              <w:adjustRightInd w:val="0"/>
              <w:jc w:val="center"/>
              <w:rPr>
                <w:rFonts w:cs="Arial"/>
                <w:color w:val="000000" w:themeColor="text1"/>
                <w:sz w:val="18"/>
                <w:szCs w:val="18"/>
                <w:lang w:bidi="ar-SA"/>
              </w:rPr>
            </w:pPr>
          </w:p>
        </w:tc>
        <w:tc>
          <w:tcPr>
            <w:tcW w:w="919" w:type="dxa"/>
            <w:shd w:val="clear" w:color="auto" w:fill="76923C" w:themeFill="accent3" w:themeFillShade="BF"/>
            <w:vAlign w:val="center"/>
          </w:tcPr>
          <w:p w14:paraId="2356766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75" w:type="dxa"/>
            <w:shd w:val="clear" w:color="auto" w:fill="76923C" w:themeFill="accent3" w:themeFillShade="BF"/>
            <w:vAlign w:val="center"/>
          </w:tcPr>
          <w:p w14:paraId="47097EE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207" w:type="dxa"/>
            <w:shd w:val="clear" w:color="auto" w:fill="76923C" w:themeFill="accent3" w:themeFillShade="BF"/>
            <w:vAlign w:val="center"/>
          </w:tcPr>
          <w:p w14:paraId="5257095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997" w:type="dxa"/>
            <w:shd w:val="clear" w:color="auto" w:fill="76923C" w:themeFill="accent3" w:themeFillShade="BF"/>
            <w:vAlign w:val="center"/>
          </w:tcPr>
          <w:p w14:paraId="700E0DC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9" w:type="dxa"/>
            <w:tcBorders>
              <w:right w:val="double" w:sz="4" w:space="0" w:color="auto"/>
            </w:tcBorders>
            <w:shd w:val="clear" w:color="auto" w:fill="76923C" w:themeFill="accent3" w:themeFillShade="BF"/>
            <w:vAlign w:val="center"/>
          </w:tcPr>
          <w:p w14:paraId="66331D2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84" w:type="dxa"/>
            <w:tcBorders>
              <w:left w:val="double" w:sz="4" w:space="0" w:color="auto"/>
            </w:tcBorders>
            <w:shd w:val="clear" w:color="auto" w:fill="76923C" w:themeFill="accent3" w:themeFillShade="BF"/>
            <w:vAlign w:val="center"/>
          </w:tcPr>
          <w:p w14:paraId="51F1374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0" w:type="dxa"/>
            <w:shd w:val="clear" w:color="auto" w:fill="76923C" w:themeFill="accent3" w:themeFillShade="BF"/>
            <w:vAlign w:val="center"/>
          </w:tcPr>
          <w:p w14:paraId="2DE38DA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84" w:type="dxa"/>
            <w:shd w:val="clear" w:color="auto" w:fill="76923C" w:themeFill="accent3" w:themeFillShade="BF"/>
            <w:vAlign w:val="center"/>
          </w:tcPr>
          <w:p w14:paraId="0DBDB26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0" w:type="dxa"/>
            <w:shd w:val="clear" w:color="auto" w:fill="76923C" w:themeFill="accent3" w:themeFillShade="BF"/>
            <w:vAlign w:val="center"/>
          </w:tcPr>
          <w:p w14:paraId="417213D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r>
      <w:tr w:rsidR="0033454E" w:rsidRPr="001B5342" w14:paraId="29517FB3" w14:textId="77777777" w:rsidTr="0033454E">
        <w:trPr>
          <w:trHeight w:val="283"/>
          <w:jc w:val="center"/>
        </w:trPr>
        <w:tc>
          <w:tcPr>
            <w:tcW w:w="2414" w:type="dxa"/>
            <w:shd w:val="clear" w:color="auto" w:fill="EAF1DD" w:themeFill="accent3" w:themeFillTint="33"/>
            <w:vAlign w:val="center"/>
          </w:tcPr>
          <w:p w14:paraId="02C8342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BBCH13-15/whole plant</w:t>
            </w:r>
          </w:p>
        </w:tc>
        <w:tc>
          <w:tcPr>
            <w:tcW w:w="909" w:type="dxa"/>
            <w:shd w:val="clear" w:color="auto" w:fill="EAF1DD" w:themeFill="accent3" w:themeFillTint="33"/>
            <w:vAlign w:val="center"/>
          </w:tcPr>
          <w:p w14:paraId="5584D41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EAF1DD" w:themeFill="accent3" w:themeFillTint="33"/>
            <w:vAlign w:val="center"/>
          </w:tcPr>
          <w:p w14:paraId="63C96B1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EAF1DD" w:themeFill="accent3" w:themeFillTint="33"/>
            <w:vAlign w:val="center"/>
          </w:tcPr>
          <w:p w14:paraId="411E686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4698652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5F6E51C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2645193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43E604F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6A5A30D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21111E5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28C504A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7E6C8AAF" w14:textId="77777777" w:rsidTr="0033454E">
        <w:trPr>
          <w:trHeight w:val="283"/>
          <w:jc w:val="center"/>
        </w:trPr>
        <w:tc>
          <w:tcPr>
            <w:tcW w:w="2414" w:type="dxa"/>
            <w:shd w:val="clear" w:color="auto" w:fill="EAF1DD" w:themeFill="accent3" w:themeFillTint="33"/>
            <w:vAlign w:val="center"/>
          </w:tcPr>
          <w:p w14:paraId="369CAC8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BBCH30-39/whole plant</w:t>
            </w:r>
          </w:p>
        </w:tc>
        <w:tc>
          <w:tcPr>
            <w:tcW w:w="909" w:type="dxa"/>
            <w:shd w:val="clear" w:color="auto" w:fill="EAF1DD" w:themeFill="accent3" w:themeFillTint="33"/>
            <w:vAlign w:val="center"/>
          </w:tcPr>
          <w:p w14:paraId="3392865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EAF1DD" w:themeFill="accent3" w:themeFillTint="33"/>
            <w:vAlign w:val="center"/>
          </w:tcPr>
          <w:p w14:paraId="17396BC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EAF1DD" w:themeFill="accent3" w:themeFillTint="33"/>
            <w:vAlign w:val="center"/>
          </w:tcPr>
          <w:p w14:paraId="10E8DB3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502F3EC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3F8811B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621B6C0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510BE8E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50F31E7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19E4A3A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73682BF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5011F865" w14:textId="77777777" w:rsidTr="0033454E">
        <w:trPr>
          <w:trHeight w:val="283"/>
          <w:jc w:val="center"/>
        </w:trPr>
        <w:tc>
          <w:tcPr>
            <w:tcW w:w="2414" w:type="dxa"/>
            <w:shd w:val="clear" w:color="auto" w:fill="EAF1DD" w:themeFill="accent3" w:themeFillTint="33"/>
            <w:vAlign w:val="center"/>
          </w:tcPr>
          <w:p w14:paraId="25114C7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BBCH30-39/root</w:t>
            </w:r>
          </w:p>
        </w:tc>
        <w:tc>
          <w:tcPr>
            <w:tcW w:w="909" w:type="dxa"/>
            <w:shd w:val="clear" w:color="auto" w:fill="EAF1DD" w:themeFill="accent3" w:themeFillTint="33"/>
            <w:vAlign w:val="center"/>
          </w:tcPr>
          <w:p w14:paraId="23B04D6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0.25</w:t>
            </w:r>
          </w:p>
        </w:tc>
        <w:tc>
          <w:tcPr>
            <w:tcW w:w="919" w:type="dxa"/>
            <w:shd w:val="clear" w:color="auto" w:fill="EAF1DD" w:themeFill="accent3" w:themeFillTint="33"/>
            <w:vAlign w:val="center"/>
          </w:tcPr>
          <w:p w14:paraId="3D97054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0.25</w:t>
            </w:r>
          </w:p>
        </w:tc>
        <w:tc>
          <w:tcPr>
            <w:tcW w:w="1075" w:type="dxa"/>
            <w:shd w:val="clear" w:color="auto" w:fill="EAF1DD" w:themeFill="accent3" w:themeFillTint="33"/>
            <w:vAlign w:val="center"/>
          </w:tcPr>
          <w:p w14:paraId="65B2FF0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1EEDFE1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2B3996B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5B56D21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2CC6119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459CF2B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311941A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30F8B3A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34F2C2B5" w14:textId="77777777" w:rsidTr="0033454E">
        <w:trPr>
          <w:trHeight w:val="283"/>
          <w:jc w:val="center"/>
        </w:trPr>
        <w:tc>
          <w:tcPr>
            <w:tcW w:w="2414" w:type="dxa"/>
            <w:shd w:val="clear" w:color="auto" w:fill="EAF1DD" w:themeFill="accent3" w:themeFillTint="33"/>
            <w:vAlign w:val="center"/>
          </w:tcPr>
          <w:p w14:paraId="5C7320E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BBCH57-65/whole plant</w:t>
            </w:r>
          </w:p>
        </w:tc>
        <w:tc>
          <w:tcPr>
            <w:tcW w:w="909" w:type="dxa"/>
            <w:shd w:val="clear" w:color="auto" w:fill="EAF1DD" w:themeFill="accent3" w:themeFillTint="33"/>
            <w:vAlign w:val="center"/>
          </w:tcPr>
          <w:p w14:paraId="47C1C1B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EAF1DD" w:themeFill="accent3" w:themeFillTint="33"/>
            <w:vAlign w:val="center"/>
          </w:tcPr>
          <w:p w14:paraId="6F32539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EAF1DD" w:themeFill="accent3" w:themeFillTint="33"/>
            <w:vAlign w:val="center"/>
          </w:tcPr>
          <w:p w14:paraId="78BE93B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423599B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1D55D66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010FACC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516402F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04D2B22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220A0B4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765EFBE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3DE53F3E" w14:textId="77777777" w:rsidTr="0033454E">
        <w:trPr>
          <w:trHeight w:val="283"/>
          <w:jc w:val="center"/>
        </w:trPr>
        <w:tc>
          <w:tcPr>
            <w:tcW w:w="2414" w:type="dxa"/>
            <w:shd w:val="clear" w:color="auto" w:fill="EAF1DD" w:themeFill="accent3" w:themeFillTint="33"/>
            <w:vAlign w:val="center"/>
          </w:tcPr>
          <w:p w14:paraId="602461E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BBCH57-65/root</w:t>
            </w:r>
          </w:p>
        </w:tc>
        <w:tc>
          <w:tcPr>
            <w:tcW w:w="909" w:type="dxa"/>
            <w:shd w:val="clear" w:color="auto" w:fill="EAF1DD" w:themeFill="accent3" w:themeFillTint="33"/>
            <w:vAlign w:val="center"/>
          </w:tcPr>
          <w:p w14:paraId="6ECCFE6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0.25</w:t>
            </w:r>
          </w:p>
        </w:tc>
        <w:tc>
          <w:tcPr>
            <w:tcW w:w="919" w:type="dxa"/>
            <w:shd w:val="clear" w:color="auto" w:fill="EAF1DD" w:themeFill="accent3" w:themeFillTint="33"/>
            <w:vAlign w:val="center"/>
          </w:tcPr>
          <w:p w14:paraId="4948E90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0.25</w:t>
            </w:r>
          </w:p>
        </w:tc>
        <w:tc>
          <w:tcPr>
            <w:tcW w:w="1075" w:type="dxa"/>
            <w:shd w:val="clear" w:color="auto" w:fill="EAF1DD" w:themeFill="accent3" w:themeFillTint="33"/>
            <w:vAlign w:val="center"/>
          </w:tcPr>
          <w:p w14:paraId="0D204DC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2B552A9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7D4F54B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6770FDD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74C6FE6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2.18</w:t>
            </w:r>
          </w:p>
        </w:tc>
        <w:tc>
          <w:tcPr>
            <w:tcW w:w="1120" w:type="dxa"/>
            <w:shd w:val="clear" w:color="auto" w:fill="EAF1DD" w:themeFill="accent3" w:themeFillTint="33"/>
            <w:vAlign w:val="center"/>
          </w:tcPr>
          <w:p w14:paraId="111A21A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1.62 – 2.74</w:t>
            </w:r>
          </w:p>
        </w:tc>
        <w:tc>
          <w:tcPr>
            <w:tcW w:w="1084" w:type="dxa"/>
            <w:shd w:val="clear" w:color="auto" w:fill="EAF1DD" w:themeFill="accent3" w:themeFillTint="33"/>
            <w:vAlign w:val="center"/>
          </w:tcPr>
          <w:p w14:paraId="328945DA"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4.74</w:t>
            </w:r>
          </w:p>
        </w:tc>
        <w:tc>
          <w:tcPr>
            <w:tcW w:w="1120" w:type="dxa"/>
            <w:shd w:val="clear" w:color="auto" w:fill="EAF1DD" w:themeFill="accent3" w:themeFillTint="33"/>
            <w:vAlign w:val="center"/>
          </w:tcPr>
          <w:p w14:paraId="57499BA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 – 4.74</w:t>
            </w:r>
          </w:p>
        </w:tc>
      </w:tr>
      <w:tr w:rsidR="0033454E" w:rsidRPr="001B5342" w14:paraId="12891CB1" w14:textId="77777777" w:rsidTr="0033454E">
        <w:trPr>
          <w:trHeight w:val="283"/>
          <w:jc w:val="center"/>
        </w:trPr>
        <w:tc>
          <w:tcPr>
            <w:tcW w:w="2414" w:type="dxa"/>
            <w:shd w:val="clear" w:color="auto" w:fill="EAF1DD" w:themeFill="accent3" w:themeFillTint="33"/>
            <w:vAlign w:val="center"/>
          </w:tcPr>
          <w:p w14:paraId="1EB804B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BBCH57-65/raceme</w:t>
            </w:r>
          </w:p>
        </w:tc>
        <w:tc>
          <w:tcPr>
            <w:tcW w:w="909" w:type="dxa"/>
            <w:shd w:val="clear" w:color="auto" w:fill="EAF1DD" w:themeFill="accent3" w:themeFillTint="33"/>
            <w:vAlign w:val="center"/>
          </w:tcPr>
          <w:p w14:paraId="149AB0F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0.04</w:t>
            </w:r>
          </w:p>
        </w:tc>
        <w:tc>
          <w:tcPr>
            <w:tcW w:w="919" w:type="dxa"/>
            <w:shd w:val="clear" w:color="auto" w:fill="EAF1DD" w:themeFill="accent3" w:themeFillTint="33"/>
            <w:vAlign w:val="center"/>
          </w:tcPr>
          <w:p w14:paraId="0D8483B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0.04</w:t>
            </w:r>
          </w:p>
        </w:tc>
        <w:tc>
          <w:tcPr>
            <w:tcW w:w="1075" w:type="dxa"/>
            <w:shd w:val="clear" w:color="auto" w:fill="EAF1DD" w:themeFill="accent3" w:themeFillTint="33"/>
            <w:vAlign w:val="center"/>
          </w:tcPr>
          <w:p w14:paraId="2FBE115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29AB4AB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2B5DEC6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4D420AE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79A9D6B9"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039F72F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170B307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234E6BC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65C29356" w14:textId="77777777" w:rsidTr="0033454E">
        <w:trPr>
          <w:trHeight w:val="283"/>
          <w:jc w:val="center"/>
        </w:trPr>
        <w:tc>
          <w:tcPr>
            <w:tcW w:w="2414" w:type="dxa"/>
            <w:shd w:val="clear" w:color="auto" w:fill="EAF1DD" w:themeFill="accent3" w:themeFillTint="33"/>
            <w:vAlign w:val="center"/>
          </w:tcPr>
          <w:p w14:paraId="311E67A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Maturity/seed</w:t>
            </w:r>
          </w:p>
        </w:tc>
        <w:tc>
          <w:tcPr>
            <w:tcW w:w="909" w:type="dxa"/>
            <w:shd w:val="clear" w:color="auto" w:fill="EAF1DD" w:themeFill="accent3" w:themeFillTint="33"/>
            <w:vAlign w:val="center"/>
          </w:tcPr>
          <w:p w14:paraId="767B31B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EAF1DD" w:themeFill="accent3" w:themeFillTint="33"/>
            <w:vAlign w:val="center"/>
          </w:tcPr>
          <w:p w14:paraId="6F2FB86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EAF1DD" w:themeFill="accent3" w:themeFillTint="33"/>
            <w:vAlign w:val="center"/>
          </w:tcPr>
          <w:p w14:paraId="14C1858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207" w:type="dxa"/>
            <w:shd w:val="clear" w:color="auto" w:fill="EAF1DD" w:themeFill="accent3" w:themeFillTint="33"/>
            <w:vAlign w:val="center"/>
          </w:tcPr>
          <w:p w14:paraId="5F2D7F7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997" w:type="dxa"/>
            <w:shd w:val="clear" w:color="auto" w:fill="EAF1DD" w:themeFill="accent3" w:themeFillTint="33"/>
            <w:vAlign w:val="center"/>
          </w:tcPr>
          <w:p w14:paraId="6F7FBAC4"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9" w:type="dxa"/>
            <w:tcBorders>
              <w:right w:val="double" w:sz="4" w:space="0" w:color="auto"/>
            </w:tcBorders>
            <w:shd w:val="clear" w:color="auto" w:fill="EAF1DD" w:themeFill="accent3" w:themeFillTint="33"/>
            <w:vAlign w:val="center"/>
          </w:tcPr>
          <w:p w14:paraId="122CD66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tcBorders>
              <w:left w:val="double" w:sz="4" w:space="0" w:color="auto"/>
            </w:tcBorders>
            <w:shd w:val="clear" w:color="auto" w:fill="EAF1DD" w:themeFill="accent3" w:themeFillTint="33"/>
            <w:vAlign w:val="center"/>
          </w:tcPr>
          <w:p w14:paraId="5D2B231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5AEDD6C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c>
          <w:tcPr>
            <w:tcW w:w="1084" w:type="dxa"/>
            <w:shd w:val="clear" w:color="auto" w:fill="EAF1DD" w:themeFill="accent3" w:themeFillTint="33"/>
            <w:vAlign w:val="center"/>
          </w:tcPr>
          <w:p w14:paraId="7154D38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ND</w:t>
            </w:r>
          </w:p>
        </w:tc>
        <w:tc>
          <w:tcPr>
            <w:tcW w:w="1120" w:type="dxa"/>
            <w:shd w:val="clear" w:color="auto" w:fill="EAF1DD" w:themeFill="accent3" w:themeFillTint="33"/>
            <w:vAlign w:val="center"/>
          </w:tcPr>
          <w:p w14:paraId="5E43AFF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&lt;LOQ</w:t>
            </w:r>
          </w:p>
        </w:tc>
      </w:tr>
      <w:tr w:rsidR="0033454E" w:rsidRPr="001B5342" w14:paraId="11BD29F8" w14:textId="77777777" w:rsidTr="0033454E">
        <w:trPr>
          <w:trHeight w:val="113"/>
          <w:jc w:val="center"/>
        </w:trPr>
        <w:tc>
          <w:tcPr>
            <w:tcW w:w="2414" w:type="dxa"/>
            <w:shd w:val="clear" w:color="auto" w:fill="76923C" w:themeFill="accent3" w:themeFillShade="BF"/>
            <w:vAlign w:val="center"/>
          </w:tcPr>
          <w:p w14:paraId="749B26B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A5136A">
              <w:rPr>
                <w:rFonts w:cs="Arial"/>
                <w:noProof/>
                <w:color w:val="FF0000"/>
                <w:szCs w:val="20"/>
                <w:lang w:bidi="ar-SA"/>
              </w:rPr>
              <mc:AlternateContent>
                <mc:Choice Requires="wps">
                  <w:drawing>
                    <wp:anchor distT="0" distB="0" distL="114300" distR="114300" simplePos="0" relativeHeight="251661312" behindDoc="0" locked="0" layoutInCell="1" allowOverlap="1" wp14:anchorId="62C1AAE8" wp14:editId="3AC68429">
                      <wp:simplePos x="0" y="0"/>
                      <wp:positionH relativeFrom="column">
                        <wp:posOffset>-10795</wp:posOffset>
                      </wp:positionH>
                      <wp:positionV relativeFrom="paragraph">
                        <wp:posOffset>92710</wp:posOffset>
                      </wp:positionV>
                      <wp:extent cx="752475" cy="1403985"/>
                      <wp:effectExtent l="0" t="1905" r="762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52475" cy="1403985"/>
                              </a:xfrm>
                              <a:prstGeom prst="rect">
                                <a:avLst/>
                              </a:prstGeom>
                              <a:solidFill>
                                <a:srgbClr val="FFFFFF"/>
                              </a:solidFill>
                              <a:ln w="9525">
                                <a:noFill/>
                                <a:miter lim="800000"/>
                                <a:headEnd/>
                                <a:tailEnd/>
                              </a:ln>
                            </wps:spPr>
                            <wps:txbx>
                              <w:txbxContent>
                                <w:p w14:paraId="27BC9F9E" w14:textId="77777777" w:rsidR="00A35DB9" w:rsidRPr="00A5136A" w:rsidRDefault="00A35DB9" w:rsidP="0033454E">
                                  <w:pPr>
                                    <w:rPr>
                                      <w:b/>
                                    </w:rPr>
                                  </w:pPr>
                                  <w:r w:rsidRPr="00A5136A">
                                    <w:rPr>
                                      <w:b/>
                                    </w:rPr>
                                    <w:t>Barstar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C1AAE8" id="_x0000_s1028" type="#_x0000_t202" style="position:absolute;left:0;text-align:left;margin-left:-.85pt;margin-top:7.3pt;width:59.25pt;height:110.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" stroked="f">
                      <v:textbox style="mso-fit-shape-to-text:t">
                        <w:txbxContent>
                          <w:p w14:paraId="27BC9F9E" w14:textId="77777777" w:rsidR="00A35DB9" w:rsidRPr="00A5136A" w:rsidRDefault="00A35DB9" w:rsidP="0033454E">
                            <w:pPr>
                              <w:rPr>
                                <w:b/>
                              </w:rPr>
                            </w:pPr>
                            <w:r w:rsidRPr="00A5136A">
                              <w:rPr>
                                <w:b/>
                              </w:rPr>
                              <w:t>Barstar</w:t>
                            </w:r>
                          </w:p>
                        </w:txbxContent>
                      </v:textbox>
                    </v:shape>
                  </w:pict>
                </mc:Fallback>
              </mc:AlternateContent>
            </w:r>
          </w:p>
        </w:tc>
        <w:tc>
          <w:tcPr>
            <w:tcW w:w="909" w:type="dxa"/>
            <w:shd w:val="clear" w:color="auto" w:fill="76923C" w:themeFill="accent3" w:themeFillShade="BF"/>
            <w:vAlign w:val="center"/>
          </w:tcPr>
          <w:p w14:paraId="7F28A6C5" w14:textId="77777777" w:rsidR="0033454E" w:rsidRDefault="0033454E" w:rsidP="0033454E">
            <w:pPr>
              <w:widowControl/>
              <w:autoSpaceDE w:val="0"/>
              <w:autoSpaceDN w:val="0"/>
              <w:adjustRightInd w:val="0"/>
              <w:jc w:val="center"/>
              <w:rPr>
                <w:rFonts w:cs="Arial"/>
                <w:color w:val="000000" w:themeColor="text1"/>
                <w:sz w:val="18"/>
                <w:szCs w:val="18"/>
                <w:lang w:bidi="ar-SA"/>
              </w:rPr>
            </w:pPr>
          </w:p>
        </w:tc>
        <w:tc>
          <w:tcPr>
            <w:tcW w:w="919" w:type="dxa"/>
            <w:shd w:val="clear" w:color="auto" w:fill="76923C" w:themeFill="accent3" w:themeFillShade="BF"/>
            <w:vAlign w:val="center"/>
          </w:tcPr>
          <w:p w14:paraId="5592DC9C"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75" w:type="dxa"/>
            <w:shd w:val="clear" w:color="auto" w:fill="76923C" w:themeFill="accent3" w:themeFillShade="BF"/>
            <w:vAlign w:val="center"/>
          </w:tcPr>
          <w:p w14:paraId="7E262F0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207" w:type="dxa"/>
            <w:shd w:val="clear" w:color="auto" w:fill="76923C" w:themeFill="accent3" w:themeFillShade="BF"/>
            <w:vAlign w:val="center"/>
          </w:tcPr>
          <w:p w14:paraId="19E7F28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997" w:type="dxa"/>
            <w:shd w:val="clear" w:color="auto" w:fill="76923C" w:themeFill="accent3" w:themeFillShade="BF"/>
            <w:vAlign w:val="center"/>
          </w:tcPr>
          <w:p w14:paraId="724FA84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9" w:type="dxa"/>
            <w:tcBorders>
              <w:right w:val="double" w:sz="4" w:space="0" w:color="auto"/>
            </w:tcBorders>
            <w:shd w:val="clear" w:color="auto" w:fill="76923C" w:themeFill="accent3" w:themeFillShade="BF"/>
            <w:vAlign w:val="center"/>
          </w:tcPr>
          <w:p w14:paraId="74F70B4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84" w:type="dxa"/>
            <w:tcBorders>
              <w:left w:val="double" w:sz="4" w:space="0" w:color="auto"/>
            </w:tcBorders>
            <w:shd w:val="clear" w:color="auto" w:fill="76923C" w:themeFill="accent3" w:themeFillShade="BF"/>
            <w:vAlign w:val="center"/>
          </w:tcPr>
          <w:p w14:paraId="44785CB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0" w:type="dxa"/>
            <w:shd w:val="clear" w:color="auto" w:fill="76923C" w:themeFill="accent3" w:themeFillShade="BF"/>
            <w:vAlign w:val="center"/>
          </w:tcPr>
          <w:p w14:paraId="58899BB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084" w:type="dxa"/>
            <w:shd w:val="clear" w:color="auto" w:fill="76923C" w:themeFill="accent3" w:themeFillShade="BF"/>
            <w:vAlign w:val="center"/>
          </w:tcPr>
          <w:p w14:paraId="3226AC8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c>
          <w:tcPr>
            <w:tcW w:w="1120" w:type="dxa"/>
            <w:shd w:val="clear" w:color="auto" w:fill="76923C" w:themeFill="accent3" w:themeFillShade="BF"/>
            <w:vAlign w:val="center"/>
          </w:tcPr>
          <w:p w14:paraId="10B52E4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p>
        </w:tc>
      </w:tr>
      <w:tr w:rsidR="0033454E" w:rsidRPr="001B5342" w14:paraId="3EC2F845" w14:textId="77777777" w:rsidTr="0033454E">
        <w:trPr>
          <w:trHeight w:val="283"/>
          <w:jc w:val="center"/>
        </w:trPr>
        <w:tc>
          <w:tcPr>
            <w:tcW w:w="2414" w:type="dxa"/>
            <w:shd w:val="clear" w:color="auto" w:fill="FFFFFF" w:themeFill="background1"/>
            <w:vAlign w:val="center"/>
          </w:tcPr>
          <w:p w14:paraId="20FFD03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BBCH13-15/whole plant</w:t>
            </w:r>
          </w:p>
        </w:tc>
        <w:tc>
          <w:tcPr>
            <w:tcW w:w="909" w:type="dxa"/>
            <w:shd w:val="clear" w:color="auto" w:fill="FFFFFF" w:themeFill="background1"/>
            <w:vAlign w:val="center"/>
          </w:tcPr>
          <w:p w14:paraId="10E3552D"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7C47639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59C51D5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7A04030C"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06F5DF25"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9" w:type="dxa"/>
            <w:tcBorders>
              <w:right w:val="double" w:sz="4" w:space="0" w:color="auto"/>
            </w:tcBorders>
            <w:shd w:val="clear" w:color="auto" w:fill="FFFFFF" w:themeFill="background1"/>
            <w:vAlign w:val="center"/>
          </w:tcPr>
          <w:p w14:paraId="217E449E"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tcBorders>
              <w:left w:val="double" w:sz="4" w:space="0" w:color="auto"/>
            </w:tcBorders>
            <w:shd w:val="clear" w:color="auto" w:fill="FFFFFF" w:themeFill="background1"/>
            <w:vAlign w:val="center"/>
          </w:tcPr>
          <w:p w14:paraId="041B216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1FDCB17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shd w:val="clear" w:color="auto" w:fill="FFFFFF" w:themeFill="background1"/>
            <w:vAlign w:val="center"/>
          </w:tcPr>
          <w:p w14:paraId="7090647D"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6E6BF5D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r>
      <w:tr w:rsidR="0033454E" w:rsidRPr="001B5342" w14:paraId="5D1B6930" w14:textId="77777777" w:rsidTr="0033454E">
        <w:trPr>
          <w:trHeight w:val="283"/>
          <w:jc w:val="center"/>
        </w:trPr>
        <w:tc>
          <w:tcPr>
            <w:tcW w:w="2414" w:type="dxa"/>
            <w:shd w:val="clear" w:color="auto" w:fill="FFFFFF" w:themeFill="background1"/>
            <w:vAlign w:val="center"/>
          </w:tcPr>
          <w:p w14:paraId="58BB4DB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BBCH30-39/whole plant</w:t>
            </w:r>
          </w:p>
        </w:tc>
        <w:tc>
          <w:tcPr>
            <w:tcW w:w="909" w:type="dxa"/>
            <w:shd w:val="clear" w:color="auto" w:fill="FFFFFF" w:themeFill="background1"/>
            <w:vAlign w:val="center"/>
          </w:tcPr>
          <w:p w14:paraId="24A0B5A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FFFFFF" w:themeFill="background1"/>
            <w:vAlign w:val="center"/>
          </w:tcPr>
          <w:p w14:paraId="44668C0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FFFFFF" w:themeFill="background1"/>
            <w:vAlign w:val="center"/>
          </w:tcPr>
          <w:p w14:paraId="2D16F51C"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64C603B8"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1B898DCD"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9" w:type="dxa"/>
            <w:tcBorders>
              <w:right w:val="double" w:sz="4" w:space="0" w:color="auto"/>
            </w:tcBorders>
            <w:shd w:val="clear" w:color="auto" w:fill="FFFFFF" w:themeFill="background1"/>
            <w:vAlign w:val="center"/>
          </w:tcPr>
          <w:p w14:paraId="0711B0CA"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tcBorders>
              <w:left w:val="double" w:sz="4" w:space="0" w:color="auto"/>
            </w:tcBorders>
            <w:shd w:val="clear" w:color="auto" w:fill="FFFFFF" w:themeFill="background1"/>
            <w:vAlign w:val="center"/>
          </w:tcPr>
          <w:p w14:paraId="4CB7FB8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4938D16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shd w:val="clear" w:color="auto" w:fill="FFFFFF" w:themeFill="background1"/>
            <w:vAlign w:val="center"/>
          </w:tcPr>
          <w:p w14:paraId="23C5CC6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763EAA62"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r>
      <w:tr w:rsidR="0033454E" w:rsidRPr="001B5342" w14:paraId="4D6A1E1D" w14:textId="77777777" w:rsidTr="0033454E">
        <w:trPr>
          <w:trHeight w:val="283"/>
          <w:jc w:val="center"/>
        </w:trPr>
        <w:tc>
          <w:tcPr>
            <w:tcW w:w="2414" w:type="dxa"/>
            <w:shd w:val="clear" w:color="auto" w:fill="FFFFFF" w:themeFill="background1"/>
            <w:vAlign w:val="center"/>
          </w:tcPr>
          <w:p w14:paraId="7F9F2C6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BBCH30-39/root</w:t>
            </w:r>
          </w:p>
        </w:tc>
        <w:tc>
          <w:tcPr>
            <w:tcW w:w="909" w:type="dxa"/>
            <w:shd w:val="clear" w:color="auto" w:fill="FFFFFF" w:themeFill="background1"/>
            <w:vAlign w:val="center"/>
          </w:tcPr>
          <w:p w14:paraId="18766C3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12215D4F"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25055A72"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w:t>
            </w:r>
          </w:p>
        </w:tc>
        <w:tc>
          <w:tcPr>
            <w:tcW w:w="1207" w:type="dxa"/>
            <w:shd w:val="clear" w:color="auto" w:fill="FFFFFF" w:themeFill="background1"/>
            <w:vAlign w:val="center"/>
          </w:tcPr>
          <w:p w14:paraId="596B8A79"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1.0</w:t>
            </w:r>
          </w:p>
        </w:tc>
        <w:tc>
          <w:tcPr>
            <w:tcW w:w="997" w:type="dxa"/>
            <w:shd w:val="clear" w:color="auto" w:fill="FFFFFF" w:themeFill="background1"/>
            <w:vAlign w:val="center"/>
          </w:tcPr>
          <w:p w14:paraId="0DAC339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0.5</w:t>
            </w:r>
          </w:p>
        </w:tc>
        <w:tc>
          <w:tcPr>
            <w:tcW w:w="1129" w:type="dxa"/>
            <w:tcBorders>
              <w:right w:val="double" w:sz="4" w:space="0" w:color="auto"/>
            </w:tcBorders>
            <w:shd w:val="clear" w:color="auto" w:fill="FFFFFF" w:themeFill="background1"/>
            <w:vAlign w:val="center"/>
          </w:tcPr>
          <w:p w14:paraId="2244672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1.0</w:t>
            </w:r>
          </w:p>
        </w:tc>
        <w:tc>
          <w:tcPr>
            <w:tcW w:w="1084" w:type="dxa"/>
            <w:tcBorders>
              <w:left w:val="double" w:sz="4" w:space="0" w:color="auto"/>
            </w:tcBorders>
            <w:shd w:val="clear" w:color="auto" w:fill="FFFFFF" w:themeFill="background1"/>
            <w:vAlign w:val="center"/>
          </w:tcPr>
          <w:p w14:paraId="3535EC3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0.5</w:t>
            </w:r>
          </w:p>
        </w:tc>
        <w:tc>
          <w:tcPr>
            <w:tcW w:w="1120" w:type="dxa"/>
            <w:shd w:val="clear" w:color="auto" w:fill="FFFFFF" w:themeFill="background1"/>
            <w:vAlign w:val="center"/>
          </w:tcPr>
          <w:p w14:paraId="70B45B9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 – 0.6</w:t>
            </w:r>
          </w:p>
        </w:tc>
        <w:tc>
          <w:tcPr>
            <w:tcW w:w="1084" w:type="dxa"/>
            <w:shd w:val="clear" w:color="auto" w:fill="FFFFFF" w:themeFill="background1"/>
            <w:vAlign w:val="center"/>
          </w:tcPr>
          <w:p w14:paraId="522A869F"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0.7</w:t>
            </w:r>
          </w:p>
        </w:tc>
        <w:tc>
          <w:tcPr>
            <w:tcW w:w="1120" w:type="dxa"/>
            <w:shd w:val="clear" w:color="auto" w:fill="FFFFFF" w:themeFill="background1"/>
            <w:vAlign w:val="center"/>
          </w:tcPr>
          <w:p w14:paraId="447B68A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 – 0.9</w:t>
            </w:r>
          </w:p>
        </w:tc>
      </w:tr>
      <w:tr w:rsidR="0033454E" w:rsidRPr="001B5342" w14:paraId="597C20D8" w14:textId="77777777" w:rsidTr="0033454E">
        <w:trPr>
          <w:trHeight w:val="283"/>
          <w:jc w:val="center"/>
        </w:trPr>
        <w:tc>
          <w:tcPr>
            <w:tcW w:w="2414" w:type="dxa"/>
            <w:shd w:val="clear" w:color="auto" w:fill="FFFFFF" w:themeFill="background1"/>
            <w:vAlign w:val="center"/>
          </w:tcPr>
          <w:p w14:paraId="7B1223C3"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BBCH57-65/whole plant</w:t>
            </w:r>
          </w:p>
        </w:tc>
        <w:tc>
          <w:tcPr>
            <w:tcW w:w="909" w:type="dxa"/>
            <w:shd w:val="clear" w:color="auto" w:fill="FFFFFF" w:themeFill="background1"/>
            <w:vAlign w:val="center"/>
          </w:tcPr>
          <w:p w14:paraId="01F2D8E5"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FFFFFF" w:themeFill="background1"/>
            <w:vAlign w:val="center"/>
          </w:tcPr>
          <w:p w14:paraId="5C776FA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FFFFFF" w:themeFill="background1"/>
            <w:vAlign w:val="center"/>
          </w:tcPr>
          <w:p w14:paraId="6D02544C"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0D68CC2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086D37F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w:t>
            </w:r>
          </w:p>
        </w:tc>
        <w:tc>
          <w:tcPr>
            <w:tcW w:w="1129" w:type="dxa"/>
            <w:tcBorders>
              <w:right w:val="double" w:sz="4" w:space="0" w:color="auto"/>
            </w:tcBorders>
            <w:shd w:val="clear" w:color="auto" w:fill="FFFFFF" w:themeFill="background1"/>
            <w:vAlign w:val="center"/>
          </w:tcPr>
          <w:p w14:paraId="61087D88"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0.1 – 0.2</w:t>
            </w:r>
          </w:p>
        </w:tc>
        <w:tc>
          <w:tcPr>
            <w:tcW w:w="1084" w:type="dxa"/>
            <w:tcBorders>
              <w:left w:val="double" w:sz="4" w:space="0" w:color="auto"/>
            </w:tcBorders>
            <w:shd w:val="clear" w:color="auto" w:fill="FFFFFF" w:themeFill="background1"/>
            <w:vAlign w:val="center"/>
          </w:tcPr>
          <w:p w14:paraId="1DC4A7D8"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w:t>
            </w:r>
          </w:p>
        </w:tc>
        <w:tc>
          <w:tcPr>
            <w:tcW w:w="1120" w:type="dxa"/>
            <w:shd w:val="clear" w:color="auto" w:fill="FFFFFF" w:themeFill="background1"/>
            <w:vAlign w:val="center"/>
          </w:tcPr>
          <w:p w14:paraId="1C67D05A"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0.4</w:t>
            </w:r>
          </w:p>
        </w:tc>
        <w:tc>
          <w:tcPr>
            <w:tcW w:w="1084" w:type="dxa"/>
            <w:shd w:val="clear" w:color="auto" w:fill="FFFFFF" w:themeFill="background1"/>
            <w:vAlign w:val="center"/>
          </w:tcPr>
          <w:p w14:paraId="55B0E017"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w:t>
            </w:r>
          </w:p>
        </w:tc>
        <w:tc>
          <w:tcPr>
            <w:tcW w:w="1120" w:type="dxa"/>
            <w:shd w:val="clear" w:color="auto" w:fill="FFFFFF" w:themeFill="background1"/>
            <w:vAlign w:val="center"/>
          </w:tcPr>
          <w:p w14:paraId="7D91B28F"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0.4</w:t>
            </w:r>
          </w:p>
        </w:tc>
      </w:tr>
      <w:tr w:rsidR="0033454E" w:rsidRPr="001B5342" w14:paraId="24174DB5" w14:textId="77777777" w:rsidTr="0033454E">
        <w:trPr>
          <w:trHeight w:val="283"/>
          <w:jc w:val="center"/>
        </w:trPr>
        <w:tc>
          <w:tcPr>
            <w:tcW w:w="2414" w:type="dxa"/>
            <w:shd w:val="clear" w:color="auto" w:fill="FFFFFF" w:themeFill="background1"/>
            <w:vAlign w:val="center"/>
          </w:tcPr>
          <w:p w14:paraId="0A04D2EB"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BBCH57-65/root</w:t>
            </w:r>
          </w:p>
        </w:tc>
        <w:tc>
          <w:tcPr>
            <w:tcW w:w="909" w:type="dxa"/>
            <w:shd w:val="clear" w:color="auto" w:fill="FFFFFF" w:themeFill="background1"/>
            <w:vAlign w:val="center"/>
          </w:tcPr>
          <w:p w14:paraId="761C29AE"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919" w:type="dxa"/>
            <w:shd w:val="clear" w:color="auto" w:fill="FFFFFF" w:themeFill="background1"/>
            <w:vAlign w:val="center"/>
          </w:tcPr>
          <w:p w14:paraId="3177EDC6"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0.05</w:t>
            </w:r>
          </w:p>
        </w:tc>
        <w:tc>
          <w:tcPr>
            <w:tcW w:w="1075" w:type="dxa"/>
            <w:shd w:val="clear" w:color="auto" w:fill="FFFFFF" w:themeFill="background1"/>
            <w:vAlign w:val="center"/>
          </w:tcPr>
          <w:p w14:paraId="60E99E9E"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w:t>
            </w:r>
          </w:p>
        </w:tc>
        <w:tc>
          <w:tcPr>
            <w:tcW w:w="1207" w:type="dxa"/>
            <w:shd w:val="clear" w:color="auto" w:fill="FFFFFF" w:themeFill="background1"/>
            <w:vAlign w:val="center"/>
          </w:tcPr>
          <w:p w14:paraId="7D76FD7E"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 – 0.4</w:t>
            </w:r>
          </w:p>
        </w:tc>
        <w:tc>
          <w:tcPr>
            <w:tcW w:w="997" w:type="dxa"/>
            <w:shd w:val="clear" w:color="auto" w:fill="FFFFFF" w:themeFill="background1"/>
            <w:vAlign w:val="center"/>
          </w:tcPr>
          <w:p w14:paraId="58E7D2C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w:t>
            </w:r>
          </w:p>
        </w:tc>
        <w:tc>
          <w:tcPr>
            <w:tcW w:w="1129" w:type="dxa"/>
            <w:tcBorders>
              <w:right w:val="double" w:sz="4" w:space="0" w:color="auto"/>
            </w:tcBorders>
            <w:shd w:val="clear" w:color="auto" w:fill="FFFFFF" w:themeFill="background1"/>
            <w:vAlign w:val="center"/>
          </w:tcPr>
          <w:p w14:paraId="508D9D1E"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0.5</w:t>
            </w:r>
          </w:p>
        </w:tc>
        <w:tc>
          <w:tcPr>
            <w:tcW w:w="1084" w:type="dxa"/>
            <w:tcBorders>
              <w:left w:val="double" w:sz="4" w:space="0" w:color="auto"/>
            </w:tcBorders>
            <w:shd w:val="clear" w:color="auto" w:fill="FFFFFF" w:themeFill="background1"/>
            <w:vAlign w:val="center"/>
          </w:tcPr>
          <w:p w14:paraId="63D161A9"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0.3</w:t>
            </w:r>
          </w:p>
        </w:tc>
        <w:tc>
          <w:tcPr>
            <w:tcW w:w="1120" w:type="dxa"/>
            <w:shd w:val="clear" w:color="auto" w:fill="FFFFFF" w:themeFill="background1"/>
            <w:vAlign w:val="center"/>
          </w:tcPr>
          <w:p w14:paraId="729C8175"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0.1 – 0.6</w:t>
            </w:r>
          </w:p>
        </w:tc>
        <w:tc>
          <w:tcPr>
            <w:tcW w:w="1084" w:type="dxa"/>
            <w:shd w:val="clear" w:color="auto" w:fill="FFFFFF" w:themeFill="background1"/>
            <w:vAlign w:val="center"/>
          </w:tcPr>
          <w:p w14:paraId="791F6960"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w:t>
            </w:r>
          </w:p>
        </w:tc>
        <w:tc>
          <w:tcPr>
            <w:tcW w:w="1120" w:type="dxa"/>
            <w:shd w:val="clear" w:color="auto" w:fill="FFFFFF" w:themeFill="background1"/>
            <w:vAlign w:val="center"/>
          </w:tcPr>
          <w:p w14:paraId="451A7C17"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0.8</w:t>
            </w:r>
          </w:p>
        </w:tc>
      </w:tr>
      <w:tr w:rsidR="0033454E" w:rsidRPr="001B5342" w14:paraId="164AC340" w14:textId="77777777" w:rsidTr="0033454E">
        <w:trPr>
          <w:trHeight w:val="283"/>
          <w:jc w:val="center"/>
        </w:trPr>
        <w:tc>
          <w:tcPr>
            <w:tcW w:w="2414" w:type="dxa"/>
            <w:shd w:val="clear" w:color="auto" w:fill="FFFFFF" w:themeFill="background1"/>
            <w:vAlign w:val="center"/>
          </w:tcPr>
          <w:p w14:paraId="2D0CD9F1"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sidRPr="007A2BF1">
              <w:rPr>
                <w:rFonts w:cs="Arial"/>
                <w:color w:val="000000" w:themeColor="text1"/>
                <w:sz w:val="18"/>
                <w:szCs w:val="18"/>
                <w:lang w:bidi="ar-SA"/>
              </w:rPr>
              <w:t>BBCH57-65/raceme</w:t>
            </w:r>
          </w:p>
        </w:tc>
        <w:tc>
          <w:tcPr>
            <w:tcW w:w="909" w:type="dxa"/>
            <w:shd w:val="clear" w:color="auto" w:fill="FFFFFF" w:themeFill="background1"/>
            <w:vAlign w:val="center"/>
          </w:tcPr>
          <w:p w14:paraId="6111CD70"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FFFFFF" w:themeFill="background1"/>
            <w:vAlign w:val="center"/>
          </w:tcPr>
          <w:p w14:paraId="03032832"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FFFFFF" w:themeFill="background1"/>
            <w:vAlign w:val="center"/>
          </w:tcPr>
          <w:p w14:paraId="2B29A5DC"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77CCBC64"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0464468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0.6</w:t>
            </w:r>
          </w:p>
        </w:tc>
        <w:tc>
          <w:tcPr>
            <w:tcW w:w="1129" w:type="dxa"/>
            <w:tcBorders>
              <w:right w:val="double" w:sz="4" w:space="0" w:color="auto"/>
            </w:tcBorders>
            <w:shd w:val="clear" w:color="auto" w:fill="FFFFFF" w:themeFill="background1"/>
            <w:vAlign w:val="center"/>
          </w:tcPr>
          <w:p w14:paraId="15F1BE9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0.4 – 0.9</w:t>
            </w:r>
          </w:p>
        </w:tc>
        <w:tc>
          <w:tcPr>
            <w:tcW w:w="1084" w:type="dxa"/>
            <w:tcBorders>
              <w:left w:val="double" w:sz="4" w:space="0" w:color="auto"/>
            </w:tcBorders>
            <w:shd w:val="clear" w:color="auto" w:fill="FFFFFF" w:themeFill="background1"/>
            <w:vAlign w:val="center"/>
          </w:tcPr>
          <w:p w14:paraId="7628BC9B"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0.5</w:t>
            </w:r>
          </w:p>
        </w:tc>
        <w:tc>
          <w:tcPr>
            <w:tcW w:w="1120" w:type="dxa"/>
            <w:shd w:val="clear" w:color="auto" w:fill="FFFFFF" w:themeFill="background1"/>
            <w:vAlign w:val="center"/>
          </w:tcPr>
          <w:p w14:paraId="13D870C9"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1.7</w:t>
            </w:r>
          </w:p>
        </w:tc>
        <w:tc>
          <w:tcPr>
            <w:tcW w:w="1084" w:type="dxa"/>
            <w:shd w:val="clear" w:color="auto" w:fill="FFFFFF" w:themeFill="background1"/>
            <w:vAlign w:val="center"/>
          </w:tcPr>
          <w:p w14:paraId="716B86D7"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0.7</w:t>
            </w:r>
          </w:p>
        </w:tc>
        <w:tc>
          <w:tcPr>
            <w:tcW w:w="1120" w:type="dxa"/>
            <w:shd w:val="clear" w:color="auto" w:fill="FFFFFF" w:themeFill="background1"/>
            <w:vAlign w:val="center"/>
          </w:tcPr>
          <w:p w14:paraId="4520CC4F"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0.2 – 3.6</w:t>
            </w:r>
          </w:p>
        </w:tc>
      </w:tr>
      <w:tr w:rsidR="0033454E" w:rsidRPr="001B5342" w14:paraId="0B8BC5FA" w14:textId="77777777" w:rsidTr="0033454E">
        <w:trPr>
          <w:trHeight w:val="283"/>
          <w:jc w:val="center"/>
        </w:trPr>
        <w:tc>
          <w:tcPr>
            <w:tcW w:w="2414" w:type="dxa"/>
            <w:shd w:val="clear" w:color="auto" w:fill="FFFFFF" w:themeFill="background1"/>
            <w:vAlign w:val="center"/>
          </w:tcPr>
          <w:p w14:paraId="4D312BD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Maturity/seed</w:t>
            </w:r>
          </w:p>
        </w:tc>
        <w:tc>
          <w:tcPr>
            <w:tcW w:w="909" w:type="dxa"/>
            <w:shd w:val="clear" w:color="auto" w:fill="FFFFFF" w:themeFill="background1"/>
            <w:vAlign w:val="center"/>
          </w:tcPr>
          <w:p w14:paraId="726BBCC8"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919" w:type="dxa"/>
            <w:shd w:val="clear" w:color="auto" w:fill="FFFFFF" w:themeFill="background1"/>
            <w:vAlign w:val="center"/>
          </w:tcPr>
          <w:p w14:paraId="2A363127" w14:textId="77777777" w:rsidR="0033454E" w:rsidRPr="007A2BF1" w:rsidRDefault="0033454E" w:rsidP="0033454E">
            <w:pPr>
              <w:widowControl/>
              <w:autoSpaceDE w:val="0"/>
              <w:autoSpaceDN w:val="0"/>
              <w:adjustRightInd w:val="0"/>
              <w:jc w:val="center"/>
              <w:rPr>
                <w:rFonts w:cs="Arial"/>
                <w:color w:val="000000" w:themeColor="text1"/>
                <w:sz w:val="18"/>
                <w:szCs w:val="18"/>
                <w:lang w:bidi="ar-SA"/>
              </w:rPr>
            </w:pPr>
            <w:r>
              <w:rPr>
                <w:rFonts w:cs="Arial"/>
                <w:color w:val="000000" w:themeColor="text1"/>
                <w:sz w:val="18"/>
                <w:szCs w:val="18"/>
                <w:lang w:bidi="ar-SA"/>
              </w:rPr>
              <w:t>0.03</w:t>
            </w:r>
          </w:p>
        </w:tc>
        <w:tc>
          <w:tcPr>
            <w:tcW w:w="1075" w:type="dxa"/>
            <w:shd w:val="clear" w:color="auto" w:fill="FFFFFF" w:themeFill="background1"/>
            <w:vAlign w:val="center"/>
          </w:tcPr>
          <w:p w14:paraId="7C087F9A"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207" w:type="dxa"/>
            <w:shd w:val="clear" w:color="auto" w:fill="FFFFFF" w:themeFill="background1"/>
            <w:vAlign w:val="center"/>
          </w:tcPr>
          <w:p w14:paraId="6D14405D"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997" w:type="dxa"/>
            <w:shd w:val="clear" w:color="auto" w:fill="FFFFFF" w:themeFill="background1"/>
            <w:vAlign w:val="center"/>
          </w:tcPr>
          <w:p w14:paraId="3CF60E92"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9" w:type="dxa"/>
            <w:tcBorders>
              <w:right w:val="double" w:sz="4" w:space="0" w:color="auto"/>
            </w:tcBorders>
            <w:shd w:val="clear" w:color="auto" w:fill="FFFFFF" w:themeFill="background1"/>
            <w:vAlign w:val="center"/>
          </w:tcPr>
          <w:p w14:paraId="4699C856"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tcBorders>
              <w:left w:val="double" w:sz="4" w:space="0" w:color="auto"/>
            </w:tcBorders>
            <w:shd w:val="clear" w:color="auto" w:fill="FFFFFF" w:themeFill="background1"/>
            <w:vAlign w:val="center"/>
          </w:tcPr>
          <w:p w14:paraId="14A76828"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755382FF"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c>
          <w:tcPr>
            <w:tcW w:w="1084" w:type="dxa"/>
            <w:shd w:val="clear" w:color="auto" w:fill="FFFFFF" w:themeFill="background1"/>
            <w:vAlign w:val="center"/>
          </w:tcPr>
          <w:p w14:paraId="1FD560E2"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ND</w:t>
            </w:r>
          </w:p>
        </w:tc>
        <w:tc>
          <w:tcPr>
            <w:tcW w:w="1120" w:type="dxa"/>
            <w:shd w:val="clear" w:color="auto" w:fill="FFFFFF" w:themeFill="background1"/>
            <w:vAlign w:val="center"/>
          </w:tcPr>
          <w:p w14:paraId="57F27553" w14:textId="77777777" w:rsidR="0033454E" w:rsidRPr="003C270D" w:rsidRDefault="0033454E" w:rsidP="0033454E">
            <w:pPr>
              <w:widowControl/>
              <w:autoSpaceDE w:val="0"/>
              <w:autoSpaceDN w:val="0"/>
              <w:adjustRightInd w:val="0"/>
              <w:jc w:val="center"/>
              <w:rPr>
                <w:rFonts w:cs="Arial"/>
                <w:color w:val="000000" w:themeColor="text1"/>
                <w:sz w:val="18"/>
                <w:szCs w:val="18"/>
                <w:lang w:bidi="ar-SA"/>
              </w:rPr>
            </w:pPr>
            <w:r w:rsidRPr="003C270D">
              <w:rPr>
                <w:rFonts w:cs="Arial"/>
                <w:color w:val="000000" w:themeColor="text1"/>
                <w:sz w:val="18"/>
                <w:szCs w:val="18"/>
                <w:lang w:bidi="ar-SA"/>
              </w:rPr>
              <w:t>&lt;LOQ</w:t>
            </w:r>
          </w:p>
        </w:tc>
      </w:tr>
    </w:tbl>
    <w:p w14:paraId="0C36AC9D" w14:textId="77777777" w:rsidR="0033454E" w:rsidRPr="00CA2B78" w:rsidRDefault="0033454E" w:rsidP="0033454E">
      <w:pPr>
        <w:widowControl/>
        <w:autoSpaceDE w:val="0"/>
        <w:autoSpaceDN w:val="0"/>
        <w:adjustRightInd w:val="0"/>
        <w:rPr>
          <w:rFonts w:cs="Arial"/>
          <w:sz w:val="20"/>
          <w:szCs w:val="20"/>
          <w:lang w:eastAsia="en-GB" w:bidi="ar-SA"/>
        </w:rPr>
      </w:pPr>
    </w:p>
    <w:p w14:paraId="2888BDA1" w14:textId="77777777" w:rsidR="0033454E" w:rsidRDefault="0033454E" w:rsidP="0033454E">
      <w:pPr>
        <w:widowControl/>
        <w:autoSpaceDE w:val="0"/>
        <w:autoSpaceDN w:val="0"/>
        <w:adjustRightInd w:val="0"/>
        <w:rPr>
          <w:rFonts w:cs="Arial"/>
          <w:color w:val="FF0000"/>
          <w:sz w:val="20"/>
          <w:szCs w:val="20"/>
          <w:lang w:eastAsia="en-GB" w:bidi="ar-SA"/>
        </w:rPr>
        <w:sectPr w:rsidR="0033454E" w:rsidSect="0033454E">
          <w:pgSz w:w="16838" w:h="11906" w:orient="landscape"/>
          <w:pgMar w:top="1418" w:right="1418" w:bottom="1418" w:left="1418" w:header="709" w:footer="709" w:gutter="0"/>
          <w:cols w:space="708"/>
          <w:docGrid w:linePitch="360"/>
        </w:sectPr>
      </w:pPr>
    </w:p>
    <w:p w14:paraId="20DFA4FA" w14:textId="77777777" w:rsidR="0033454E" w:rsidRDefault="0033454E" w:rsidP="0033454E">
      <w:pPr>
        <w:pStyle w:val="Heading3"/>
      </w:pPr>
      <w:r w:rsidRPr="001B5342">
        <w:lastRenderedPageBreak/>
        <w:t>4.1.4</w:t>
      </w:r>
      <w:r w:rsidRPr="001B5342">
        <w:tab/>
        <w:t>Characterisation of</w:t>
      </w:r>
      <w:r>
        <w:t xml:space="preserve"> the proteins produced in MS11</w:t>
      </w:r>
    </w:p>
    <w:p w14:paraId="3EC8DC58" w14:textId="77777777" w:rsidR="0033454E" w:rsidRPr="00493C58" w:rsidRDefault="0033454E" w:rsidP="0033454E">
      <w:pPr>
        <w:rPr>
          <w:lang w:eastAsia="en-AU" w:bidi="ar-SA"/>
        </w:rPr>
      </w:pPr>
      <w:r w:rsidRPr="00F473B2">
        <w:rPr>
          <w:rFonts w:cs="Arial"/>
          <w:color w:val="000000" w:themeColor="text1"/>
          <w:szCs w:val="22"/>
          <w:lang w:eastAsia="en-AU" w:bidi="ar-SA"/>
        </w:rPr>
        <w:t xml:space="preserve">In </w:t>
      </w:r>
      <w:r>
        <w:rPr>
          <w:rFonts w:cs="Arial"/>
          <w:color w:val="000000" w:themeColor="text1"/>
          <w:szCs w:val="22"/>
          <w:lang w:eastAsia="en-AU" w:bidi="ar-SA"/>
        </w:rPr>
        <w:t xml:space="preserve">many cases, insufficient amounts of newly-expressed proteins can be obtained from the plant for </w:t>
      </w:r>
      <w:r w:rsidRPr="00F473B2">
        <w:rPr>
          <w:rFonts w:cs="Arial"/>
          <w:color w:val="000000" w:themeColor="text1"/>
          <w:szCs w:val="22"/>
        </w:rPr>
        <w:t>safety evaluations (e.g. pepsin digestibility and heat stability studies, acute oral toxicity testing and use as a calibration standard for quantitative ELISA). A standard practice in such cases is to produce the proteins for these evaluations in a microbial system and directly confirm their equivalence to the plant-p</w:t>
      </w:r>
      <w:r>
        <w:rPr>
          <w:rFonts w:cs="Arial"/>
          <w:color w:val="000000" w:themeColor="text1"/>
          <w:szCs w:val="22"/>
        </w:rPr>
        <w:t>roduced proteins in simultaneous</w:t>
      </w:r>
      <w:r w:rsidRPr="00F473B2">
        <w:rPr>
          <w:rFonts w:cs="Arial"/>
          <w:color w:val="000000" w:themeColor="text1"/>
          <w:szCs w:val="22"/>
        </w:rPr>
        <w:t xml:space="preserve"> analyses.</w:t>
      </w:r>
      <w:r>
        <w:rPr>
          <w:rFonts w:cs="Arial"/>
          <w:color w:val="000000" w:themeColor="text1"/>
          <w:szCs w:val="22"/>
        </w:rPr>
        <w:t xml:space="preserve"> Hence, individual studies will concurrently determine both the structural and functional characteristics of the plant-purified protein as well as its similarity to the equivalent microbially-produced protein.</w:t>
      </w:r>
    </w:p>
    <w:p w14:paraId="3AB9E76C" w14:textId="77777777" w:rsidR="0033454E" w:rsidRPr="007A5EB5" w:rsidRDefault="0033454E" w:rsidP="001E4C6F">
      <w:pPr>
        <w:pStyle w:val="Heading4"/>
      </w:pPr>
      <w:r w:rsidRPr="007A5EB5">
        <w:t>4.1.4.1</w:t>
      </w:r>
      <w:r w:rsidRPr="007A5EB5">
        <w:tab/>
        <w:t>PAT</w:t>
      </w:r>
    </w:p>
    <w:p w14:paraId="77F1F464" w14:textId="77777777" w:rsidR="0033454E" w:rsidRPr="007A5EB5"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b/>
          <w:color w:val="000000" w:themeColor="text1"/>
          <w:sz w:val="20"/>
          <w:szCs w:val="20"/>
          <w:lang w:eastAsia="en-GB" w:bidi="ar-SA"/>
        </w:rPr>
      </w:pPr>
      <w:r w:rsidRPr="007A5EB5">
        <w:rPr>
          <w:rFonts w:ascii="ArialMT" w:hAnsi="ArialMT" w:cs="ArialMT"/>
          <w:b/>
          <w:color w:val="000000" w:themeColor="text1"/>
          <w:sz w:val="20"/>
          <w:szCs w:val="20"/>
          <w:lang w:eastAsia="en-GB" w:bidi="ar-SA"/>
        </w:rPr>
        <w:t>Study submitted</w:t>
      </w:r>
    </w:p>
    <w:p w14:paraId="183999B7" w14:textId="77777777" w:rsidR="0033454E" w:rsidRPr="007A5EB5"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color w:val="000000" w:themeColor="text1"/>
          <w:sz w:val="20"/>
          <w:szCs w:val="20"/>
          <w:lang w:eastAsia="en-GB" w:bidi="ar-SA"/>
        </w:rPr>
      </w:pPr>
    </w:p>
    <w:p w14:paraId="74CABED8" w14:textId="2A35CD9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2015. Characterization of plant produced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 xml:space="preserve">protein purified from MS11 </w:t>
      </w:r>
      <w:r>
        <w:rPr>
          <w:rFonts w:ascii="Arial-ItalicMT" w:hAnsi="Arial-ItalicMT" w:cs="Arial-ItalicMT"/>
          <w:i/>
          <w:iCs/>
          <w:sz w:val="20"/>
          <w:szCs w:val="20"/>
          <w:lang w:eastAsia="en-GB" w:bidi="ar-SA"/>
        </w:rPr>
        <w:t xml:space="preserve">Brassica napus </w:t>
      </w:r>
      <w:r>
        <w:rPr>
          <w:rFonts w:ascii="ArialMT" w:hAnsi="ArialMT" w:cs="ArialMT"/>
          <w:sz w:val="20"/>
          <w:szCs w:val="20"/>
          <w:lang w:eastAsia="en-GB" w:bidi="ar-SA"/>
        </w:rPr>
        <w:t>plants (batch 1520_PATbar(MS11)) and comparability with the recombinant protein batch 1215_PATbar. Unpublished Bayer CropScience Report. Document no. M-544805-01-1.</w:t>
      </w:r>
    </w:p>
    <w:p w14:paraId="21085B9B" w14:textId="77777777" w:rsidR="0033454E" w:rsidRPr="007A5EB5" w:rsidRDefault="0033454E" w:rsidP="0033454E">
      <w:pPr>
        <w:rPr>
          <w:color w:val="000000" w:themeColor="text1"/>
        </w:rPr>
      </w:pPr>
    </w:p>
    <w:p w14:paraId="58AF1BCE" w14:textId="77777777" w:rsidR="0033454E" w:rsidRPr="00D535A5" w:rsidRDefault="0033454E" w:rsidP="0033454E">
      <w:pPr>
        <w:rPr>
          <w:color w:val="000000" w:themeColor="text1"/>
          <w:szCs w:val="22"/>
        </w:rPr>
      </w:pPr>
      <w:r>
        <w:rPr>
          <w:color w:val="000000" w:themeColor="text1"/>
        </w:rPr>
        <w:t xml:space="preserve">PAT protein was extracted from leaves of MS11 and purified by affinity chromatography (affinity resin contained rabbit polyclonal antibody raised against PAT). A negative control (if used) was prepared from non-GM N90-740. Depending on the test system, protein purified from </w:t>
      </w:r>
      <w:r w:rsidRPr="00D535A5">
        <w:rPr>
          <w:i/>
          <w:color w:val="000000" w:themeColor="text1"/>
          <w:szCs w:val="22"/>
        </w:rPr>
        <w:t>Escherichia coli</w:t>
      </w:r>
      <w:r>
        <w:rPr>
          <w:color w:val="000000" w:themeColor="text1"/>
          <w:szCs w:val="22"/>
        </w:rPr>
        <w:t xml:space="preserve"> was characterised either as the stand-alone protein or as a spike to the </w:t>
      </w:r>
      <w:r>
        <w:rPr>
          <w:color w:val="000000" w:themeColor="text1"/>
        </w:rPr>
        <w:t>non-GM N90-740 control.</w:t>
      </w:r>
    </w:p>
    <w:p w14:paraId="50CA8726" w14:textId="77777777" w:rsidR="0033454E" w:rsidRPr="00D535A5" w:rsidRDefault="0033454E" w:rsidP="0033454E">
      <w:pPr>
        <w:rPr>
          <w:color w:val="000000" w:themeColor="text1"/>
          <w:szCs w:val="22"/>
        </w:rPr>
      </w:pPr>
    </w:p>
    <w:p w14:paraId="04AFAA6E" w14:textId="77777777" w:rsidR="0033454E" w:rsidRPr="00D535A5" w:rsidRDefault="0033454E" w:rsidP="0033454E">
      <w:pPr>
        <w:rPr>
          <w:rFonts w:cs="Arial"/>
          <w:color w:val="000000" w:themeColor="text1"/>
          <w:szCs w:val="22"/>
        </w:rPr>
      </w:pPr>
      <w:r w:rsidRPr="00D535A5">
        <w:rPr>
          <w:rFonts w:cs="Arial"/>
          <w:color w:val="000000" w:themeColor="text1"/>
          <w:szCs w:val="22"/>
        </w:rPr>
        <w:t>A nu</w:t>
      </w:r>
      <w:r>
        <w:rPr>
          <w:rFonts w:cs="Arial"/>
          <w:color w:val="000000" w:themeColor="text1"/>
          <w:szCs w:val="22"/>
        </w:rPr>
        <w:t>mber of techniques were</w:t>
      </w:r>
      <w:r w:rsidRPr="00D535A5">
        <w:rPr>
          <w:rFonts w:cs="Arial"/>
          <w:color w:val="000000" w:themeColor="text1"/>
          <w:szCs w:val="22"/>
        </w:rPr>
        <w:t xml:space="preserve"> employed for analysis of the proteins from both sources as follows:</w:t>
      </w:r>
    </w:p>
    <w:p w14:paraId="6229E778" w14:textId="77777777" w:rsidR="0033454E" w:rsidRPr="00D535A5" w:rsidRDefault="0033454E" w:rsidP="0033454E">
      <w:pPr>
        <w:rPr>
          <w:rFonts w:cs="Arial"/>
          <w:color w:val="000000" w:themeColor="text1"/>
          <w:szCs w:val="22"/>
        </w:rPr>
      </w:pPr>
    </w:p>
    <w:p w14:paraId="7CA1D88E" w14:textId="6D1CD81E" w:rsidR="0033454E" w:rsidRPr="001E4C6F" w:rsidRDefault="0033454E" w:rsidP="00BD2330">
      <w:pPr>
        <w:pStyle w:val="ListParagraph"/>
        <w:numPr>
          <w:ilvl w:val="0"/>
          <w:numId w:val="9"/>
        </w:numPr>
        <w:ind w:left="567" w:hanging="567"/>
        <w:rPr>
          <w:rFonts w:ascii="Arial Bold" w:hAnsi="Arial Bold"/>
          <w:color w:val="000000" w:themeColor="text1"/>
          <w:szCs w:val="22"/>
        </w:rPr>
      </w:pPr>
      <w:r w:rsidRPr="001E4C6F">
        <w:rPr>
          <w:rFonts w:ascii="Arial Bold" w:hAnsi="Arial Bold"/>
          <w:b/>
          <w:color w:val="000000" w:themeColor="text1"/>
          <w:szCs w:val="22"/>
        </w:rPr>
        <w:t>Sodium dodecyl sulfate polyacrylamide gel electrophoresis (SDS-PAGE) and western blot analysis</w:t>
      </w:r>
      <w:r w:rsidRPr="001E4C6F">
        <w:rPr>
          <w:rFonts w:ascii="Arial Bold" w:hAnsi="Arial Bold"/>
          <w:color w:val="000000" w:themeColor="text1"/>
          <w:szCs w:val="22"/>
        </w:rPr>
        <w:t xml:space="preserve"> </w:t>
      </w:r>
    </w:p>
    <w:p w14:paraId="67FDCA5A" w14:textId="77777777" w:rsidR="0033454E" w:rsidRPr="003664FD" w:rsidRDefault="0033454E" w:rsidP="0033454E">
      <w:pPr>
        <w:pStyle w:val="ListParagraph"/>
        <w:ind w:left="567"/>
        <w:rPr>
          <w:color w:val="000000" w:themeColor="text1"/>
          <w:szCs w:val="22"/>
        </w:rPr>
      </w:pPr>
      <w:r w:rsidRPr="003664FD">
        <w:rPr>
          <w:color w:val="000000" w:themeColor="text1"/>
          <w:szCs w:val="22"/>
        </w:rPr>
        <w:t xml:space="preserve">The apparent molecular mass of the proteins was compared by SDS-PAGE and staining with Coomassie Blue. After electrophoresis, proteins were transferred to </w:t>
      </w:r>
      <w:r w:rsidRPr="003664FD">
        <w:rPr>
          <w:rStyle w:val="st1"/>
          <w:rFonts w:cs="Arial"/>
          <w:color w:val="000000" w:themeColor="text1"/>
          <w:szCs w:val="22"/>
          <w:lang w:val="en-AU"/>
        </w:rPr>
        <w:t>polyvinylidene fluoride (PVDF) membranes via electro-blotting</w:t>
      </w:r>
      <w:r w:rsidRPr="003664FD">
        <w:rPr>
          <w:color w:val="000000" w:themeColor="text1"/>
          <w:szCs w:val="22"/>
        </w:rPr>
        <w:t xml:space="preserve"> and immuno-reactivity was assessed by incubation with a primary polyclonal rabbit anti-PAT antibody followed by goat anti-rabbit alkaline phosphate (AP)-conjugated secondary antibody.</w:t>
      </w:r>
    </w:p>
    <w:p w14:paraId="0E48C7D3" w14:textId="77777777" w:rsidR="0033454E" w:rsidRPr="003664FD" w:rsidRDefault="0033454E" w:rsidP="0033454E">
      <w:pPr>
        <w:rPr>
          <w:color w:val="000000" w:themeColor="text1"/>
          <w:szCs w:val="22"/>
        </w:rPr>
      </w:pPr>
    </w:p>
    <w:p w14:paraId="19269710" w14:textId="77777777" w:rsidR="0033454E" w:rsidRDefault="0033454E" w:rsidP="00BD2330">
      <w:pPr>
        <w:pStyle w:val="ListParagraph"/>
        <w:numPr>
          <w:ilvl w:val="0"/>
          <w:numId w:val="9"/>
        </w:numPr>
        <w:ind w:left="567" w:hanging="567"/>
        <w:rPr>
          <w:color w:val="000000" w:themeColor="text1"/>
          <w:szCs w:val="22"/>
        </w:rPr>
      </w:pPr>
      <w:r w:rsidRPr="001E4C6F">
        <w:rPr>
          <w:b/>
          <w:color w:val="000000" w:themeColor="text1"/>
          <w:szCs w:val="22"/>
        </w:rPr>
        <w:t>Ultra Performance Liquid Chromatography</w:t>
      </w:r>
      <w:r w:rsidRPr="003664FD">
        <w:rPr>
          <w:color w:val="000000" w:themeColor="text1"/>
          <w:szCs w:val="22"/>
        </w:rPr>
        <w:t xml:space="preserve"> (UPLC) coupled with ultra violet (UV) detection and mass spectrometry (MS) was used for intact molecular weight determination, peptide mapping (of tryptic digests) and N-terminal sequencing (of tryptic digests) of the plant-derived protein. UPLC is a recent technique that builds on the principles of High Performance Liquid Chromatography (HPLC) to provide improved resolution and sensitivity in peptide analyses </w:t>
      </w:r>
      <w:r>
        <w:rPr>
          <w:noProof/>
          <w:color w:val="000000" w:themeColor="text1"/>
          <w:szCs w:val="22"/>
        </w:rPr>
        <w:t>(Chawla and Ranjan 2016)</w:t>
      </w:r>
      <w:r w:rsidRPr="00C137F9">
        <w:rPr>
          <w:color w:val="000000" w:themeColor="text1"/>
          <w:szCs w:val="22"/>
        </w:rPr>
        <w:t>.</w:t>
      </w:r>
    </w:p>
    <w:p w14:paraId="787DF722" w14:textId="77777777" w:rsidR="0033454E" w:rsidRPr="00C137F9" w:rsidRDefault="0033454E" w:rsidP="0033454E">
      <w:pPr>
        <w:pStyle w:val="ListParagraph"/>
        <w:ind w:left="567"/>
        <w:rPr>
          <w:color w:val="000000" w:themeColor="text1"/>
          <w:szCs w:val="22"/>
        </w:rPr>
      </w:pPr>
    </w:p>
    <w:p w14:paraId="2B7B1062" w14:textId="77777777" w:rsidR="00D244D3" w:rsidRPr="00D244D3" w:rsidRDefault="0033454E" w:rsidP="00BD2330">
      <w:pPr>
        <w:pStyle w:val="ListParagraph"/>
        <w:numPr>
          <w:ilvl w:val="0"/>
          <w:numId w:val="9"/>
        </w:numPr>
        <w:ind w:left="567" w:hanging="567"/>
        <w:rPr>
          <w:color w:val="000000" w:themeColor="text1"/>
          <w:szCs w:val="22"/>
        </w:rPr>
      </w:pPr>
      <w:r w:rsidRPr="001E4C6F">
        <w:rPr>
          <w:b/>
          <w:color w:val="000000" w:themeColor="text1"/>
          <w:szCs w:val="22"/>
        </w:rPr>
        <w:t>Glycostaining</w:t>
      </w:r>
      <w:r>
        <w:rPr>
          <w:color w:val="000000" w:themeColor="text1"/>
          <w:szCs w:val="22"/>
        </w:rPr>
        <w:t xml:space="preserve">. This technique tests for proteins that have been post-translationally modified by the addition of carbohydrate moieties (glycans) covalently linked to the polypeptide backbone. </w:t>
      </w:r>
      <w:r w:rsidR="00D244D3" w:rsidRPr="006A3B74">
        <w:rPr>
          <w:rFonts w:cs="Arial"/>
          <w:color w:val="000000" w:themeColor="text1"/>
          <w:szCs w:val="22"/>
        </w:rPr>
        <w:t xml:space="preserve">Glycosylation patterns have been implicated in contributing to possible allergenicity </w:t>
      </w:r>
      <w:r w:rsidR="00D244D3" w:rsidRPr="006A3B74">
        <w:rPr>
          <w:rFonts w:cs="Arial"/>
          <w:color w:val="000000" w:themeColor="text1"/>
          <w:szCs w:val="22"/>
        </w:rPr>
        <w:fldChar w:fldCharType="begin"/>
      </w:r>
      <w:r w:rsidR="00D244D3" w:rsidRPr="006A3B74">
        <w:rPr>
          <w:rFonts w:cs="Arial"/>
          <w:color w:val="000000" w:themeColor="text1"/>
          <w:szCs w:val="22"/>
        </w:rPr>
        <w:instrText xml:space="preserve"> ADDIN REFMGR.CITE &lt;Refman&gt;&lt;Cite&gt;&lt;Author&gt;Huby&lt;/Author&gt;&lt;Year&gt;2000&lt;/Year&gt;&lt;RecNum&gt;2102&lt;/RecNum&gt;&lt;IDText&gt;Why are some proteins allergens?&lt;/IDText&gt;&lt;MDL Ref_Type="Journal (Full)"&gt;&lt;Ref_Type&gt;Journal (Full)&lt;/Ref_Type&gt;&lt;Ref_ID&gt;2102&lt;/Ref_ID&gt;&lt;Title_Primary&gt;Why are some proteins allergens?&lt;/Title_Primary&gt;&lt;Authors_Primary&gt;Huby,R.D.J.&lt;/Authors_Primary&gt;&lt;Authors_Primary&gt;Dearman,R.J.&lt;/Authors_Primary&gt;&lt;Authors_Primary&gt;Kimber,I.&lt;/Authors_Primary&gt;&lt;Date_Primary&gt;2000&lt;/Date_Primary&gt;&lt;Keywords&gt;Proteins&lt;/Keywords&gt;&lt;Keywords&gt;Allergens&lt;/Keywords&gt;&lt;Keywords&gt;allergenicity&lt;/Keywords&gt;&lt;Keywords&gt;glycosylation&lt;/Keywords&gt;&lt;Keywords&gt;detection&lt;/Keywords&gt;&lt;Reprint&gt;Not in File&lt;/Reprint&gt;&lt;Start_Page&gt;235&lt;/Start_Page&gt;&lt;End_Page&gt;246&lt;/End_Page&gt;&lt;Periodical&gt;Toxicological Sciences&lt;/Periodical&gt;&lt;Volume&gt;55&lt;/Volume&gt;&lt;Misc_3&gt;https://doi.org/10.1093/toxsci/55.2.235&lt;/Misc_3&gt;&lt;Web_URL_Link2&gt;&lt;u&gt;file://Y:\References\GM References_in RefMan\Huby et al_2000_why are some proteins allergens.pdf&lt;/u&gt;&lt;/Web_URL_Link2&gt;&lt;ZZ_JournalFull&gt;&lt;f name="System"&gt;Toxicological Sciences&lt;/f&gt;&lt;/ZZ_JournalFull&gt;&lt;ZZ_WorkformID&gt;32&lt;/ZZ_WorkformID&gt;&lt;/MDL&gt;&lt;/Cite&gt;&lt;/Refman&gt;</w:instrText>
      </w:r>
      <w:r w:rsidR="00D244D3" w:rsidRPr="006A3B74">
        <w:rPr>
          <w:rFonts w:cs="Arial"/>
          <w:color w:val="000000" w:themeColor="text1"/>
          <w:szCs w:val="22"/>
        </w:rPr>
        <w:fldChar w:fldCharType="separate"/>
      </w:r>
      <w:r w:rsidR="00D244D3" w:rsidRPr="006A3B74">
        <w:rPr>
          <w:rFonts w:cs="Arial"/>
          <w:noProof/>
          <w:color w:val="000000" w:themeColor="text1"/>
          <w:szCs w:val="22"/>
        </w:rPr>
        <w:t>(Huby et al. 2000)</w:t>
      </w:r>
      <w:r w:rsidR="00D244D3" w:rsidRPr="006A3B74">
        <w:rPr>
          <w:rFonts w:cs="Arial"/>
          <w:color w:val="000000" w:themeColor="text1"/>
          <w:szCs w:val="22"/>
        </w:rPr>
        <w:fldChar w:fldCharType="end"/>
      </w:r>
      <w:r w:rsidR="00D244D3" w:rsidRPr="006A3B74">
        <w:rPr>
          <w:rFonts w:cs="Arial"/>
          <w:color w:val="000000" w:themeColor="text1"/>
          <w:szCs w:val="22"/>
        </w:rPr>
        <w:t xml:space="preserve"> since they may affect the susceptibility of a protein to processing and proteolysis and may introduce glycan peptides which are known to be highly cross-reactive epitopes. There has been the suggestion that transgenic proteins may have different glycosylation patterns from their native counterparts; while this had apparently been demonstrated in a transgenic pea </w:t>
      </w:r>
      <w:r w:rsidR="00D244D3" w:rsidRPr="006A3B74">
        <w:rPr>
          <w:rFonts w:cs="Arial"/>
          <w:color w:val="000000" w:themeColor="text1"/>
          <w:szCs w:val="22"/>
        </w:rPr>
        <w:fldChar w:fldCharType="begin"/>
      </w:r>
      <w:r w:rsidR="00D244D3" w:rsidRPr="006A3B74">
        <w:rPr>
          <w:rFonts w:cs="Arial"/>
          <w:color w:val="000000" w:themeColor="text1"/>
          <w:szCs w:val="22"/>
        </w:rPr>
        <w:instrText xml:space="preserve"> ADDIN REFMGR.CITE &lt;Refman&gt;&lt;Cite&gt;&lt;Author&gt;Prescott&lt;/Author&gt;&lt;Year&gt;2005&lt;/Year&gt;&lt;RecNum&gt;232&lt;/RecNum&gt;&lt;IDText&gt;Transgenic expression of bean a-amylase inhibitor in peas results in altered structure and immunogenicity&lt;/IDText&gt;&lt;MDL Ref_Type="Journal"&gt;&lt;Ref_Type&gt;Journal&lt;/Ref_Type&gt;&lt;Ref_ID&gt;232&lt;/Ref_ID&gt;&lt;Title_Primary&gt;Transgenic expression of bean &lt;f name="Symbol"&gt;a&lt;/f&gt;-amylase inhibitor in peas results in altered structure and immunogenicity&lt;/Title_Primary&gt;&lt;Authors_Primary&gt;Prescott,V.A.&lt;/Authors_Primary&gt;&lt;Authors_Primary&gt;Campbell,P.M.&lt;/Authors_Primary&gt;&lt;Authors_Primary&gt;Moore,A.&lt;/Authors_Primary&gt;&lt;Authors_Primary&gt;Mattes,J.&lt;/Authors_Primary&gt;&lt;Authors_Primary&gt;Rothenberg,M.E.&lt;/Authors_Primary&gt;&lt;Authors_Primary&gt;Foster,P.S.&lt;/Authors_Primary&gt;&lt;Authors_Primary&gt;Higgins,T.J.V.&lt;/Authors_Primary&gt;&lt;Authors_Primary&gt;Hogan,S.P.&lt;/Authors_Primary&gt;&lt;Date_Primary&gt;2005&lt;/Date_Primary&gt;&lt;Keywords&gt;allergenicity&lt;/Keywords&gt;&lt;Keywords&gt;bean&lt;/Keywords&gt;&lt;Keywords&gt;Inflammation&lt;/Keywords&gt;&lt;Keywords&gt;Mice&lt;/Keywords&gt;&lt;Keywords&gt;pea&lt;/Keywords&gt;&lt;Keywords&gt;Peas&lt;/Keywords&gt;&lt;Keywords&gt;Plants&lt;/Keywords&gt;&lt;Keywords&gt;Proteins&lt;/Keywords&gt;&lt;Keywords&gt;Recombinant Proteins&lt;/Keywords&gt;&lt;Reprint&gt;In File&lt;/Reprint&gt;&lt;Start_Page&gt;9023&lt;/Start_Page&gt;&lt;End_Page&gt;9030&lt;/End_Page&gt;&lt;Periodical&gt;J.Agric.Food Chem.&lt;/Periodical&gt;&lt;Volume&gt;53&lt;/Volume&gt;&lt;Web_URL_Link2&gt;file://Y:\References\GM References_in RefMan&lt;u&gt;\Prescott et al_2005_allergenicity of GM pea.pdf&lt;/u&gt;&lt;/Web_URL_Link2&gt;&lt;Web_URL_Link3&gt;file://Y:\References\GM References_in RefMan&lt;u&gt;\Valenta &lt;/u&gt;and&lt;u&gt; Spok_2008_review of Prescott et al (2005) .pdf&lt;/u&gt;;;file://Y:\References\GM References_in RefMan&lt;u&gt;\Lee et al_2013_alpha amylase in pea new study.pdf&lt;/u&gt;&lt;/Web_URL_Link3&gt;&lt;ZZ_JournalFull&gt;&lt;f name="System"&gt;Journal of Agricultural and Food Chemistry&lt;/f&gt;&lt;/ZZ_JournalFull&gt;&lt;ZZ_JournalStdAbbrev&gt;&lt;f name="System"&gt;J.Agric.Food Chem.&lt;/f&gt;&lt;/ZZ_JournalStdAbbrev&gt;&lt;ZZ_WorkformID&gt;1&lt;/ZZ_WorkformID&gt;&lt;/MDL&gt;&lt;/Cite&gt;&lt;/Refman&gt;</w:instrText>
      </w:r>
      <w:r w:rsidR="00D244D3" w:rsidRPr="006A3B74">
        <w:rPr>
          <w:rFonts w:cs="Arial"/>
          <w:color w:val="000000" w:themeColor="text1"/>
          <w:szCs w:val="22"/>
        </w:rPr>
        <w:fldChar w:fldCharType="separate"/>
      </w:r>
      <w:r w:rsidR="00D244D3" w:rsidRPr="006A3B74">
        <w:rPr>
          <w:rFonts w:cs="Arial"/>
          <w:noProof/>
          <w:color w:val="000000" w:themeColor="text1"/>
          <w:szCs w:val="22"/>
        </w:rPr>
        <w:t>(Prescott et al. 2005)</w:t>
      </w:r>
      <w:r w:rsidR="00D244D3" w:rsidRPr="006A3B74">
        <w:rPr>
          <w:rFonts w:cs="Arial"/>
          <w:color w:val="000000" w:themeColor="text1"/>
          <w:szCs w:val="22"/>
        </w:rPr>
        <w:fldChar w:fldCharType="end"/>
      </w:r>
      <w:r w:rsidR="00D244D3" w:rsidRPr="006A3B74">
        <w:rPr>
          <w:rFonts w:cs="Arial"/>
          <w:color w:val="000000" w:themeColor="text1"/>
          <w:szCs w:val="22"/>
        </w:rPr>
        <w:t xml:space="preserve"> it was later refuted </w:t>
      </w:r>
      <w:r w:rsidR="00D244D3" w:rsidRPr="006A3B74">
        <w:rPr>
          <w:rFonts w:cs="Arial"/>
          <w:color w:val="000000" w:themeColor="text1"/>
          <w:szCs w:val="22"/>
        </w:rPr>
        <w:fldChar w:fldCharType="begin"/>
      </w:r>
      <w:r w:rsidR="00D244D3" w:rsidRPr="006A3B74">
        <w:rPr>
          <w:rFonts w:cs="Arial"/>
          <w:color w:val="000000" w:themeColor="text1"/>
          <w:szCs w:val="22"/>
        </w:rPr>
        <w:instrText xml:space="preserve"> ADDIN REFMGR.CITE &lt;Refman&gt;&lt;Cite&gt;&lt;Author&gt;Lee&lt;/Author&gt;&lt;Year&gt;2013&lt;/Year&gt;&lt;RecNum&gt;1350&lt;/RecNum&gt;&lt;IDText&gt;Genetically modified a-amylase inhibitor peas are not specifically allergenic in mice&lt;/IDText&gt;&lt;MDL Ref_Type="Journal (Full)"&gt;&lt;Ref_Type&gt;Journal (Full)&lt;/Ref_Type&gt;&lt;Ref_ID&gt;1350&lt;/Ref_ID&gt;&lt;Title_Primary&gt;Genetically modified &lt;f name="Symbol"&gt;a&lt;/f&gt;-amylase inhibitor peas are not specifically allergenic in mice&lt;/Title_Primary&gt;&lt;Authors_Primary&gt;Lee,R.-Y.&lt;/Authors_Primary&gt;&lt;Authors_Primary&gt;Reiner,D.&lt;/Authors_Primary&gt;&lt;Authors_Primary&gt;Dekan,G.&lt;/Authors_Primary&gt;&lt;Authors_Primary&gt;Moore,A.E.&lt;/Authors_Primary&gt;&lt;Authors_Primary&gt;Higgins,T.J.V.&lt;/Authors_Primary&gt;&lt;Date_Primary&gt;2013&lt;/Date_Primary&gt;&lt;Keywords&gt;allergenicity&lt;/Keywords&gt;&lt;Keywords&gt;bean&lt;/Keywords&gt;&lt;Keywords&gt;Mice&lt;/Keywords&gt;&lt;Keywords&gt;pea&lt;/Keywords&gt;&lt;Keywords&gt;Peas&lt;/Keywords&gt;&lt;Reprint&gt;In File&lt;/Reprint&gt;&lt;Start_Page&gt;e52972&lt;/Start_Page&gt;&lt;Periodical&gt;PLoS ONE&lt;/Periodical&gt;&lt;Volume&gt;8 (online access)&lt;/Volume&gt;&lt;Issue&gt;1&lt;/Issue&gt;&lt;Misc_2&gt;doi:10.1371/journal.pone.0052972&lt;/Misc_2&gt;&lt;Web_URL_Link2&gt;file://Y:\References\GM References_in RefMan&lt;u&gt;\Lee et al_2013_alpha amylase in pea new study.pdf&lt;/u&gt;&lt;/Web_URL_Link2&gt;&lt;ZZ_JournalFull&gt;&lt;f name="System"&gt;PLoS ONE&lt;/f&gt;&lt;/ZZ_JournalFull&gt;&lt;ZZ_WorkformID&gt;32&lt;/ZZ_WorkformID&gt;&lt;/MDL&gt;&lt;/Cite&gt;&lt;/Refman&gt;</w:instrText>
      </w:r>
      <w:r w:rsidR="00D244D3" w:rsidRPr="006A3B74">
        <w:rPr>
          <w:rFonts w:cs="Arial"/>
          <w:color w:val="000000" w:themeColor="text1"/>
          <w:szCs w:val="22"/>
        </w:rPr>
        <w:fldChar w:fldCharType="separate"/>
      </w:r>
      <w:r w:rsidR="00D244D3" w:rsidRPr="006A3B74">
        <w:rPr>
          <w:rFonts w:cs="Arial"/>
          <w:noProof/>
          <w:color w:val="000000" w:themeColor="text1"/>
          <w:szCs w:val="22"/>
        </w:rPr>
        <w:t>(Lee et al. 2013)</w:t>
      </w:r>
      <w:r w:rsidR="00D244D3" w:rsidRPr="006A3B74">
        <w:rPr>
          <w:rFonts w:cs="Arial"/>
          <w:color w:val="000000" w:themeColor="text1"/>
          <w:szCs w:val="22"/>
        </w:rPr>
        <w:fldChar w:fldCharType="end"/>
      </w:r>
      <w:r w:rsidR="00D244D3" w:rsidRPr="006A3B74">
        <w:rPr>
          <w:rFonts w:cs="Arial"/>
          <w:color w:val="000000" w:themeColor="text1"/>
          <w:szCs w:val="22"/>
        </w:rPr>
        <w:t xml:space="preserve">. </w:t>
      </w:r>
    </w:p>
    <w:p w14:paraId="7557BE96" w14:textId="77777777" w:rsidR="00D244D3" w:rsidRPr="00D244D3" w:rsidRDefault="00D244D3" w:rsidP="00D244D3">
      <w:pPr>
        <w:pStyle w:val="ListParagraph"/>
        <w:ind w:left="567"/>
        <w:rPr>
          <w:color w:val="000000" w:themeColor="text1"/>
          <w:szCs w:val="22"/>
        </w:rPr>
      </w:pPr>
    </w:p>
    <w:p w14:paraId="369A9714" w14:textId="77777777" w:rsidR="00A35DB9" w:rsidRDefault="00A35DB9" w:rsidP="00D244D3">
      <w:pPr>
        <w:pStyle w:val="ListParagraph"/>
        <w:ind w:left="567"/>
        <w:rPr>
          <w:rFonts w:cs="Arial"/>
          <w:color w:val="000000" w:themeColor="text1"/>
          <w:lang w:eastAsia="en-AU"/>
        </w:rPr>
      </w:pPr>
      <w:r>
        <w:rPr>
          <w:rFonts w:cs="Arial"/>
          <w:color w:val="000000" w:themeColor="text1"/>
          <w:lang w:eastAsia="en-AU"/>
        </w:rPr>
        <w:br w:type="page"/>
      </w:r>
    </w:p>
    <w:p w14:paraId="137EC7A5" w14:textId="3FA84CE4" w:rsidR="0033454E" w:rsidRPr="009F1391" w:rsidRDefault="0033454E" w:rsidP="00D244D3">
      <w:pPr>
        <w:pStyle w:val="ListParagraph"/>
        <w:ind w:left="567"/>
        <w:rPr>
          <w:color w:val="000000" w:themeColor="text1"/>
          <w:szCs w:val="22"/>
        </w:rPr>
      </w:pPr>
      <w:r>
        <w:rPr>
          <w:rFonts w:cs="Arial"/>
          <w:color w:val="000000" w:themeColor="text1"/>
          <w:lang w:eastAsia="en-AU"/>
        </w:rPr>
        <w:lastRenderedPageBreak/>
        <w:t xml:space="preserve">Proteins produced in prokaryotes are not expected to be glycosylated and only a few specific endogenous proteins in </w:t>
      </w:r>
      <w:r w:rsidRPr="00851213">
        <w:rPr>
          <w:rFonts w:cs="Arial"/>
          <w:i/>
          <w:color w:val="000000" w:themeColor="text1"/>
          <w:lang w:eastAsia="en-AU"/>
        </w:rPr>
        <w:t>E. coli</w:t>
      </w:r>
      <w:r>
        <w:rPr>
          <w:rFonts w:cs="Arial"/>
          <w:color w:val="000000" w:themeColor="text1"/>
          <w:lang w:eastAsia="en-AU"/>
        </w:rPr>
        <w:t xml:space="preserve"> have been confirmed to be glycosylated </w:t>
      </w:r>
      <w:r>
        <w:rPr>
          <w:rFonts w:cs="Arial"/>
          <w:noProof/>
          <w:color w:val="000000" w:themeColor="text1"/>
          <w:lang w:eastAsia="en-AU"/>
        </w:rPr>
        <w:t>(Sherlock et al. 2006)</w:t>
      </w:r>
    </w:p>
    <w:p w14:paraId="01BDB4D3" w14:textId="77777777" w:rsidR="0033454E" w:rsidRDefault="0033454E" w:rsidP="0033454E">
      <w:pPr>
        <w:pStyle w:val="ListParagraph"/>
        <w:ind w:left="567"/>
        <w:rPr>
          <w:color w:val="000000" w:themeColor="text1"/>
          <w:szCs w:val="22"/>
          <w:u w:val="single"/>
        </w:rPr>
      </w:pPr>
    </w:p>
    <w:p w14:paraId="65CEB8C0" w14:textId="77777777" w:rsidR="0033454E" w:rsidRPr="00D33FE1" w:rsidRDefault="0033454E" w:rsidP="0033454E">
      <w:pPr>
        <w:pStyle w:val="ListParagraph"/>
        <w:ind w:left="567"/>
        <w:rPr>
          <w:color w:val="000000" w:themeColor="text1"/>
          <w:lang w:val="en"/>
        </w:rPr>
      </w:pPr>
      <w:r>
        <w:rPr>
          <w:color w:val="000000" w:themeColor="text1"/>
          <w:szCs w:val="22"/>
        </w:rPr>
        <w:t xml:space="preserve">The analysis was done by </w:t>
      </w:r>
      <w:r w:rsidRPr="00C129F3">
        <w:rPr>
          <w:rFonts w:cs="Arial"/>
          <w:color w:val="000000" w:themeColor="text1"/>
          <w:szCs w:val="22"/>
        </w:rPr>
        <w:t xml:space="preserve">using a commercial kit (Sigma® Glycoprotein Detection Kit) following SDS-PAGE. </w:t>
      </w:r>
      <w:r w:rsidRPr="00C129F3">
        <w:rPr>
          <w:color w:val="000000" w:themeColor="text1"/>
          <w:lang w:val="en"/>
        </w:rPr>
        <w:t>The kit is designed to selectively stain glycoproteins on a nitrocellulose membrane using a modification o</w:t>
      </w:r>
      <w:r>
        <w:rPr>
          <w:color w:val="000000" w:themeColor="text1"/>
          <w:lang w:val="en"/>
        </w:rPr>
        <w:t>f the Periodic Acid-Schiff</w:t>
      </w:r>
      <w:r w:rsidRPr="00C129F3">
        <w:rPr>
          <w:color w:val="000000" w:themeColor="text1"/>
          <w:lang w:val="en"/>
        </w:rPr>
        <w:t xml:space="preserve"> method.</w:t>
      </w:r>
      <w:r w:rsidRPr="00C129F3">
        <w:rPr>
          <w:color w:val="000000" w:themeColor="text1"/>
          <w:vertAlign w:val="superscript"/>
          <w:lang w:val="en"/>
        </w:rPr>
        <w:t xml:space="preserve"> </w:t>
      </w:r>
      <w:r>
        <w:rPr>
          <w:color w:val="000000" w:themeColor="text1"/>
          <w:lang w:val="en"/>
        </w:rPr>
        <w:t xml:space="preserve">Staining of sugar moieties of </w:t>
      </w:r>
      <w:r w:rsidRPr="00C129F3">
        <w:rPr>
          <w:color w:val="000000" w:themeColor="text1"/>
          <w:lang w:val="en"/>
        </w:rPr>
        <w:t>glycoproteins yields magenta bands with a colorless background. The Schiff reagent stains vicinal diol groups found mainly on peripheral sugars and sialic acids and is used as a general glycoprotein stain.</w:t>
      </w:r>
    </w:p>
    <w:p w14:paraId="46927D23" w14:textId="77777777" w:rsidR="0033454E" w:rsidRPr="008566B4" w:rsidRDefault="0033454E" w:rsidP="0033454E">
      <w:pPr>
        <w:rPr>
          <w:color w:val="000000" w:themeColor="text1"/>
          <w:szCs w:val="22"/>
        </w:rPr>
      </w:pPr>
    </w:p>
    <w:p w14:paraId="7CD77AF5" w14:textId="322B6BD8" w:rsidR="0033454E" w:rsidRPr="003664FD" w:rsidRDefault="0033454E" w:rsidP="00A35DB9">
      <w:pPr>
        <w:pStyle w:val="ListParagraph"/>
        <w:numPr>
          <w:ilvl w:val="0"/>
          <w:numId w:val="9"/>
        </w:numPr>
        <w:ind w:left="567" w:right="-144" w:hanging="567"/>
        <w:rPr>
          <w:color w:val="000000" w:themeColor="text1"/>
          <w:szCs w:val="22"/>
        </w:rPr>
      </w:pPr>
      <w:r w:rsidRPr="001E4C6F">
        <w:rPr>
          <w:b/>
          <w:color w:val="000000" w:themeColor="text1"/>
          <w:szCs w:val="22"/>
        </w:rPr>
        <w:t>Enzymatic activity</w:t>
      </w:r>
      <w:r w:rsidR="00E5589F" w:rsidRPr="001E4C6F">
        <w:rPr>
          <w:color w:val="000000" w:themeColor="text1"/>
          <w:szCs w:val="22"/>
        </w:rPr>
        <w:t>.</w:t>
      </w:r>
      <w:r w:rsidRPr="005D5AD8">
        <w:rPr>
          <w:color w:val="000000" w:themeColor="text1"/>
          <w:szCs w:val="22"/>
        </w:rPr>
        <w:t xml:space="preserve"> </w:t>
      </w:r>
      <w:r w:rsidRPr="005D5AD8">
        <w:rPr>
          <w:szCs w:val="22"/>
        </w:rPr>
        <w:t xml:space="preserve">The PAT activity assay is based on the ability of the PAT enzyme to acetylate PPT in </w:t>
      </w:r>
      <w:r>
        <w:rPr>
          <w:szCs w:val="22"/>
        </w:rPr>
        <w:t>the presence of acetyl CoA</w:t>
      </w:r>
      <w:r w:rsidRPr="005D5AD8">
        <w:rPr>
          <w:szCs w:val="22"/>
        </w:rPr>
        <w:t xml:space="preserve"> (</w:t>
      </w:r>
      <w:r w:rsidRPr="004F4FDA">
        <w:rPr>
          <w:szCs w:val="22"/>
        </w:rPr>
        <w:t>see Section 4.1.1</w:t>
      </w:r>
      <w:r w:rsidRPr="005D5AD8">
        <w:rPr>
          <w:szCs w:val="22"/>
        </w:rPr>
        <w:t xml:space="preserve">). </w:t>
      </w:r>
      <w:r>
        <w:rPr>
          <w:szCs w:val="22"/>
        </w:rPr>
        <w:t xml:space="preserve">The resulting reduced </w:t>
      </w:r>
      <w:r w:rsidRPr="003664FD">
        <w:rPr>
          <w:szCs w:val="22"/>
        </w:rPr>
        <w:t>CoA reacts with 5,5-dithiobis-2-nitrobenzoic acid to yield a molar equivalent of free 5-thio-2-nitrobenzoic acid which can be quantified spectrophotometrically by its ability to absorb light at 412 nm. The difference of the CoA concentration at the end of the reaction and the initial amount of CoA at that start of the reaction is divided by the reaction time (15 minutes) to give the rate of reaction (μM/min or μmol*L</w:t>
      </w:r>
      <w:r w:rsidRPr="003664FD">
        <w:rPr>
          <w:sz w:val="14"/>
          <w:szCs w:val="14"/>
          <w:vertAlign w:val="superscript"/>
        </w:rPr>
        <w:t>-1</w:t>
      </w:r>
      <w:r w:rsidRPr="003664FD">
        <w:rPr>
          <w:szCs w:val="22"/>
        </w:rPr>
        <w:t>*min</w:t>
      </w:r>
      <w:r w:rsidRPr="003664FD">
        <w:rPr>
          <w:sz w:val="14"/>
          <w:szCs w:val="14"/>
          <w:vertAlign w:val="superscript"/>
        </w:rPr>
        <w:t>-1</w:t>
      </w:r>
      <w:r w:rsidRPr="003664FD">
        <w:rPr>
          <w:szCs w:val="22"/>
        </w:rPr>
        <w:t>). The rate of the reaction is then converted into specific activity, which is defined as the amount of substrate converted per unit of time per mg of enzyme (μmol*min</w:t>
      </w:r>
      <w:r w:rsidRPr="003664FD">
        <w:rPr>
          <w:sz w:val="14"/>
          <w:szCs w:val="14"/>
          <w:vertAlign w:val="superscript"/>
        </w:rPr>
        <w:t>-1</w:t>
      </w:r>
      <w:r w:rsidRPr="003664FD">
        <w:rPr>
          <w:szCs w:val="22"/>
        </w:rPr>
        <w:t>*mg</w:t>
      </w:r>
      <w:r w:rsidRPr="003664FD">
        <w:rPr>
          <w:sz w:val="14"/>
          <w:szCs w:val="14"/>
          <w:vertAlign w:val="superscript"/>
        </w:rPr>
        <w:t>-1</w:t>
      </w:r>
      <w:r w:rsidRPr="003664FD">
        <w:rPr>
          <w:sz w:val="14"/>
          <w:szCs w:val="14"/>
        </w:rPr>
        <w:t xml:space="preserve"> </w:t>
      </w:r>
      <w:r w:rsidRPr="003664FD">
        <w:rPr>
          <w:szCs w:val="22"/>
        </w:rPr>
        <w:t>or U/mg).</w:t>
      </w:r>
    </w:p>
    <w:p w14:paraId="7C6CB4FC" w14:textId="77777777" w:rsidR="0033454E" w:rsidRDefault="0033454E" w:rsidP="001E4C6F">
      <w:pPr>
        <w:pStyle w:val="Heading5"/>
      </w:pPr>
      <w:r w:rsidRPr="00D535A5">
        <w:t xml:space="preserve">SDS-PAGE and western blot </w:t>
      </w:r>
    </w:p>
    <w:p w14:paraId="5BA97789" w14:textId="26701184" w:rsidR="0033454E" w:rsidRDefault="0033454E" w:rsidP="001E4C6F">
      <w:pPr>
        <w:rPr>
          <w:i/>
        </w:rPr>
      </w:pPr>
      <w:r>
        <w:t>In the SDS gel, a</w:t>
      </w:r>
      <w:r w:rsidRPr="00D535A5">
        <w:t xml:space="preserve">n intense band was observed at approx. 21 kDa for the MS11 and </w:t>
      </w:r>
      <w:r w:rsidRPr="00D535A5">
        <w:rPr>
          <w:i/>
        </w:rPr>
        <w:t>E. coli</w:t>
      </w:r>
      <w:r w:rsidRPr="00D535A5">
        <w:rPr>
          <w:iCs/>
        </w:rPr>
        <w:t xml:space="preserve"> </w:t>
      </w:r>
      <w:r w:rsidRPr="004F4FDA">
        <w:t>samples, demonstrating</w:t>
      </w:r>
      <w:r w:rsidRPr="00D535A5">
        <w:t xml:space="preserve"> their equiva</w:t>
      </w:r>
      <w:r>
        <w:t xml:space="preserve">lence as well as being in agreement with the calculated molecular weight of 20.67 kDa </w:t>
      </w:r>
      <w:r w:rsidRPr="004F4FDA">
        <w:t>(Section 4.1.1</w:t>
      </w:r>
      <w:r>
        <w:t>)</w:t>
      </w:r>
      <w:r w:rsidRPr="004F4FDA">
        <w:t>. Similarly</w:t>
      </w:r>
      <w:r>
        <w:t xml:space="preserve">, the western blot showed an intense immuno-reactive band at the same approximate molecular weight that co-migrated in the MS11 and </w:t>
      </w:r>
      <w:r w:rsidRPr="0014548A">
        <w:rPr>
          <w:i/>
        </w:rPr>
        <w:t>E.coli</w:t>
      </w:r>
      <w:r>
        <w:t xml:space="preserve"> samples and increased in intensity with protein load. No band was observed for the negative control in either SDS-PAGE or western blots.</w:t>
      </w:r>
    </w:p>
    <w:p w14:paraId="0F5B9B7D" w14:textId="77777777" w:rsidR="0033454E" w:rsidRPr="00AC206B" w:rsidRDefault="0033454E" w:rsidP="001E4C6F">
      <w:pPr>
        <w:pStyle w:val="Heading5"/>
      </w:pPr>
      <w:r w:rsidRPr="00AC206B">
        <w:t>UPLC-UV-MS</w:t>
      </w:r>
    </w:p>
    <w:p w14:paraId="686C779A" w14:textId="4FB26B0E" w:rsidR="0033454E" w:rsidRDefault="0033454E" w:rsidP="0033454E">
      <w:r>
        <w:t>The chemical average mass of the plant-derived PAT was measured to be 20.7 kDa, close to the calculated molecular weight of 20.67 kDa. Results from peptide mapping of a trypsin digest covered 100% of the theoretical amino acid sequence and therefore confirmed the identity of the plant-derived protein. The amino acid analyses from the N-terminus yielded a 5-amino acid sequence which matched the expected MDPER sequence.</w:t>
      </w:r>
    </w:p>
    <w:p w14:paraId="24354F99" w14:textId="77777777" w:rsidR="0033454E" w:rsidRPr="00D60FC8" w:rsidRDefault="0033454E" w:rsidP="001E4C6F">
      <w:pPr>
        <w:pStyle w:val="Heading5"/>
      </w:pPr>
      <w:r w:rsidRPr="00D60FC8">
        <w:t>Glycosylation analysis</w:t>
      </w:r>
    </w:p>
    <w:p w14:paraId="4929588F" w14:textId="5C3A4DBD" w:rsidR="0033454E" w:rsidRDefault="0033454E" w:rsidP="0033454E">
      <w:r w:rsidRPr="00C129F3">
        <w:rPr>
          <w:rFonts w:cs="Arial"/>
          <w:color w:val="000000" w:themeColor="text1"/>
          <w:szCs w:val="22"/>
        </w:rPr>
        <w:t xml:space="preserve">A </w:t>
      </w:r>
      <w:r>
        <w:rPr>
          <w:rFonts w:cs="Arial"/>
          <w:color w:val="000000" w:themeColor="text1"/>
          <w:szCs w:val="22"/>
        </w:rPr>
        <w:t>dark</w:t>
      </w:r>
      <w:r w:rsidRPr="00C129F3">
        <w:rPr>
          <w:rFonts w:cs="Arial"/>
          <w:color w:val="000000" w:themeColor="text1"/>
          <w:szCs w:val="22"/>
        </w:rPr>
        <w:t xml:space="preserve"> band was obtained for the positive control (horseradish peroxidase) while the PAT proteins from both plant and microbial sources and the negative con</w:t>
      </w:r>
      <w:r>
        <w:rPr>
          <w:rFonts w:cs="Arial"/>
          <w:color w:val="000000" w:themeColor="text1"/>
          <w:szCs w:val="22"/>
        </w:rPr>
        <w:t>trol</w:t>
      </w:r>
      <w:r w:rsidRPr="00C129F3">
        <w:rPr>
          <w:rFonts w:cs="Arial"/>
          <w:color w:val="000000" w:themeColor="text1"/>
          <w:szCs w:val="22"/>
        </w:rPr>
        <w:t xml:space="preserve"> gave no </w:t>
      </w:r>
      <w:r>
        <w:rPr>
          <w:rFonts w:cs="Arial"/>
          <w:color w:val="000000" w:themeColor="text1"/>
          <w:szCs w:val="22"/>
        </w:rPr>
        <w:t>dark</w:t>
      </w:r>
      <w:r w:rsidRPr="00C129F3">
        <w:rPr>
          <w:rFonts w:cs="Arial"/>
          <w:color w:val="000000" w:themeColor="text1"/>
          <w:szCs w:val="22"/>
        </w:rPr>
        <w:t xml:space="preserve"> bands. These results support the conclusion that </w:t>
      </w:r>
      <w:r>
        <w:rPr>
          <w:rFonts w:cs="Arial"/>
          <w:color w:val="000000" w:themeColor="text1"/>
          <w:szCs w:val="22"/>
        </w:rPr>
        <w:t xml:space="preserve">neither microbially- nor plant-derived </w:t>
      </w:r>
      <w:r w:rsidRPr="00C129F3">
        <w:rPr>
          <w:rFonts w:cs="Arial"/>
          <w:color w:val="000000" w:themeColor="text1"/>
          <w:szCs w:val="22"/>
        </w:rPr>
        <w:t>PAT proteins are glycosylated.</w:t>
      </w:r>
    </w:p>
    <w:p w14:paraId="523742F0" w14:textId="77777777" w:rsidR="0033454E" w:rsidRPr="0076487A" w:rsidRDefault="0033454E" w:rsidP="001E4C6F">
      <w:pPr>
        <w:pStyle w:val="Heading5"/>
      </w:pPr>
      <w:r w:rsidRPr="0076487A">
        <w:t>Enzymatic activity</w:t>
      </w:r>
    </w:p>
    <w:p w14:paraId="65E9DE11" w14:textId="2A666CCD" w:rsidR="0033454E" w:rsidRPr="0076487A" w:rsidRDefault="0033454E" w:rsidP="0033454E">
      <w:pPr>
        <w:rPr>
          <w:szCs w:val="22"/>
        </w:rPr>
      </w:pPr>
      <w:r w:rsidRPr="0076487A">
        <w:rPr>
          <w:szCs w:val="22"/>
        </w:rPr>
        <w:t>The mean observed specific a</w:t>
      </w:r>
      <w:r>
        <w:rPr>
          <w:szCs w:val="22"/>
        </w:rPr>
        <w:t xml:space="preserve">ctivity for the </w:t>
      </w:r>
      <w:r w:rsidRPr="0076487A">
        <w:rPr>
          <w:szCs w:val="22"/>
        </w:rPr>
        <w:t xml:space="preserve">protein purified from </w:t>
      </w:r>
      <w:r w:rsidRPr="0076487A">
        <w:rPr>
          <w:i/>
          <w:iCs/>
          <w:szCs w:val="22"/>
        </w:rPr>
        <w:t>E. coli</w:t>
      </w:r>
      <w:r w:rsidRPr="0076487A">
        <w:rPr>
          <w:szCs w:val="22"/>
        </w:rPr>
        <w:t xml:space="preserve"> was 18.</w:t>
      </w:r>
      <w:r w:rsidRPr="0066598C">
        <w:rPr>
          <w:szCs w:val="22"/>
        </w:rPr>
        <w:t>727 U/mg</w:t>
      </w:r>
      <w:r w:rsidRPr="0076487A">
        <w:rPr>
          <w:szCs w:val="22"/>
        </w:rPr>
        <w:t xml:space="preserve"> and for the plant-purified protein was 13.894 U/mg. Therefore, both proteins were considered functionally equivalent.</w:t>
      </w:r>
    </w:p>
    <w:p w14:paraId="45C576DD" w14:textId="77777777" w:rsidR="00A35DB9" w:rsidRDefault="00A35DB9" w:rsidP="001E4C6F">
      <w:pPr>
        <w:pStyle w:val="Heading5"/>
      </w:pPr>
      <w:r>
        <w:br w:type="page"/>
      </w:r>
    </w:p>
    <w:p w14:paraId="57F9250A" w14:textId="2839A040" w:rsidR="0033454E" w:rsidRPr="0076487A" w:rsidRDefault="0033454E" w:rsidP="001E4C6F">
      <w:pPr>
        <w:pStyle w:val="Heading5"/>
      </w:pPr>
      <w:r w:rsidRPr="0076487A">
        <w:lastRenderedPageBreak/>
        <w:t>Conclusion</w:t>
      </w:r>
    </w:p>
    <w:p w14:paraId="3118177F" w14:textId="0C9A7A8F" w:rsidR="0033454E" w:rsidRPr="00D535A5" w:rsidRDefault="0033454E" w:rsidP="0033454E">
      <w:r>
        <w:t xml:space="preserve">These studies confirmed both the structural and functional characteristics of the plant-produced PAT protein and demonstrated equivalence between the plant- and </w:t>
      </w:r>
      <w:r w:rsidR="00C63B93">
        <w:t>microbially</w:t>
      </w:r>
      <w:r>
        <w:t xml:space="preserve">-derived PAT protein. Hence the </w:t>
      </w:r>
      <w:r w:rsidRPr="00CA2B78">
        <w:rPr>
          <w:i/>
        </w:rPr>
        <w:t>E.coli</w:t>
      </w:r>
      <w:r>
        <w:t>-derived protein is a suitable surrogate for MS11-produced protein in safety assessment studies.</w:t>
      </w:r>
    </w:p>
    <w:p w14:paraId="2ED5B736" w14:textId="77777777" w:rsidR="0033454E" w:rsidRDefault="0033454E" w:rsidP="001E4C6F">
      <w:pPr>
        <w:pStyle w:val="Heading4"/>
      </w:pPr>
      <w:r w:rsidRPr="007A5EB5">
        <w:t>4.1.4.2</w:t>
      </w:r>
      <w:r w:rsidRPr="007A5EB5">
        <w:tab/>
        <w:t>Barnase and Barstar</w:t>
      </w:r>
    </w:p>
    <w:p w14:paraId="200F283A" w14:textId="77777777" w:rsidR="0033454E" w:rsidRPr="00F473B2"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lang w:eastAsia="en-AU" w:bidi="ar-SA"/>
        </w:rPr>
      </w:pPr>
      <w:r w:rsidRPr="00F473B2">
        <w:rPr>
          <w:rFonts w:cs="Arial"/>
          <w:b/>
          <w:color w:val="000000" w:themeColor="text1"/>
          <w:sz w:val="20"/>
          <w:szCs w:val="20"/>
          <w:lang w:eastAsia="en-AU" w:bidi="ar-SA"/>
        </w:rPr>
        <w:t>Studies submitted</w:t>
      </w:r>
    </w:p>
    <w:p w14:paraId="0087020E" w14:textId="77777777" w:rsidR="0033454E" w:rsidRPr="00F473B2" w:rsidRDefault="0033454E" w:rsidP="0033454E">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lang w:eastAsia="en-AU" w:bidi="ar-SA"/>
        </w:rPr>
      </w:pPr>
    </w:p>
    <w:p w14:paraId="5666836A"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2013. Characterization of the recombinant Barnase protein batch no 1205_Barnase. Unpublished Bayer Crop Science Report. Document no. M-467079- 01-1.</w:t>
      </w:r>
    </w:p>
    <w:p w14:paraId="35CC596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Characterization of the recombinant Barnase protein batch 1518_Barnase. Unpublished Bayer Crop Science Report. Document no. M-551100-01-1.</w:t>
      </w:r>
    </w:p>
    <w:p w14:paraId="7B8F2FFD"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2009. Certificate of analysis for the Barstar protein produced in </w:t>
      </w:r>
      <w:r>
        <w:rPr>
          <w:rFonts w:ascii="Arial-ItalicMT" w:hAnsi="Arial-ItalicMT" w:cs="Arial-ItalicMT"/>
          <w:i/>
          <w:iCs/>
          <w:sz w:val="20"/>
          <w:szCs w:val="20"/>
          <w:lang w:eastAsia="en-GB" w:bidi="ar-SA"/>
        </w:rPr>
        <w:t xml:space="preserve">E.coli </w:t>
      </w:r>
      <w:r>
        <w:rPr>
          <w:rFonts w:ascii="ArialMT" w:hAnsi="ArialMT" w:cs="ArialMT"/>
          <w:sz w:val="20"/>
          <w:szCs w:val="20"/>
          <w:lang w:eastAsia="en-GB" w:bidi="ar-SA"/>
        </w:rPr>
        <w:t>batch no LB300909B. Unpublished Bayer Crop Science Report. Document no. M-433234-01-1.</w:t>
      </w:r>
    </w:p>
    <w:p w14:paraId="3F31001C"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2012. Supplementary characterization of the Barstar protein batch no LB300909B* produced in </w:t>
      </w:r>
      <w:r>
        <w:rPr>
          <w:rFonts w:ascii="Arial-ItalicMT" w:hAnsi="Arial-ItalicMT" w:cs="Arial-ItalicMT"/>
          <w:i/>
          <w:iCs/>
          <w:sz w:val="20"/>
          <w:szCs w:val="20"/>
          <w:lang w:eastAsia="en-GB" w:bidi="ar-SA"/>
        </w:rPr>
        <w:t>Escherichia coli</w:t>
      </w:r>
      <w:r>
        <w:rPr>
          <w:rFonts w:ascii="ArialMT" w:hAnsi="ArialMT" w:cs="ArialMT"/>
          <w:sz w:val="20"/>
          <w:szCs w:val="20"/>
          <w:lang w:eastAsia="en-GB" w:bidi="ar-SA"/>
        </w:rPr>
        <w:t>. Unpublished Bayer Crop Science Report. Document no. M-433174-01-1.</w:t>
      </w:r>
    </w:p>
    <w:p w14:paraId="55DE0E1C"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Characterization of the recombinant barstar protein batch 1340_Barstar. Unpublished Bayer Crop Science Report. Document no. M-495269- 01-1.</w:t>
      </w:r>
    </w:p>
    <w:p w14:paraId="42D01D24"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2012. Characterization of the barstar protein batch no MVW020911B produced in </w:t>
      </w:r>
      <w:r>
        <w:rPr>
          <w:rFonts w:ascii="Arial-ItalicMT" w:hAnsi="Arial-ItalicMT" w:cs="Arial-ItalicMT"/>
          <w:i/>
          <w:iCs/>
          <w:sz w:val="20"/>
          <w:szCs w:val="20"/>
          <w:lang w:eastAsia="en-GB" w:bidi="ar-SA"/>
        </w:rPr>
        <w:t>Escherichia coli</w:t>
      </w:r>
      <w:r>
        <w:rPr>
          <w:rFonts w:ascii="ArialMT" w:hAnsi="ArialMT" w:cs="ArialMT"/>
          <w:sz w:val="20"/>
          <w:szCs w:val="20"/>
          <w:lang w:eastAsia="en-GB" w:bidi="ar-SA"/>
        </w:rPr>
        <w:t>. Unpublished Bayer Crop Science Report. Document no. M-433233-01-1.</w:t>
      </w:r>
    </w:p>
    <w:p w14:paraId="44FAC72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Characterization of the recombinant Barstar protein batch 1522_Barstar. Unpublished Bayer Crop Science Report. Document no. M-548907-01-1.</w:t>
      </w:r>
    </w:p>
    <w:p w14:paraId="63B79556"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Comparability of the Barstar protein from MS11 </w:t>
      </w:r>
      <w:r>
        <w:rPr>
          <w:rFonts w:ascii="Arial-ItalicMT" w:hAnsi="Arial-ItalicMT" w:cs="Arial-ItalicMT"/>
          <w:i/>
          <w:iCs/>
          <w:sz w:val="20"/>
          <w:szCs w:val="20"/>
          <w:lang w:eastAsia="en-GB" w:bidi="ar-SA"/>
        </w:rPr>
        <w:t xml:space="preserve">Brassica napus </w:t>
      </w:r>
      <w:r>
        <w:rPr>
          <w:rFonts w:ascii="ArialMT" w:hAnsi="ArialMT" w:cs="ArialMT"/>
          <w:sz w:val="20"/>
          <w:szCs w:val="20"/>
          <w:lang w:eastAsia="en-GB" w:bidi="ar-SA"/>
        </w:rPr>
        <w:t>plants with the recombinant protein batch 1340_Barstar. Unpublished Bayer Crop Science Report. Document no. M-548891-01-1.</w:t>
      </w:r>
    </w:p>
    <w:p w14:paraId="14E8E07B" w14:textId="77777777" w:rsidR="0033454E" w:rsidRDefault="0033454E" w:rsidP="0033454E">
      <w:pPr>
        <w:widowControl/>
        <w:autoSpaceDE w:val="0"/>
        <w:autoSpaceDN w:val="0"/>
        <w:adjustRightInd w:val="0"/>
        <w:ind w:left="284" w:hanging="284"/>
        <w:rPr>
          <w:rFonts w:ascii="ArialMT" w:hAnsi="ArialMT" w:cs="ArialMT"/>
          <w:sz w:val="20"/>
          <w:szCs w:val="20"/>
          <w:lang w:eastAsia="en-GB" w:bidi="ar-SA"/>
        </w:rPr>
      </w:pPr>
    </w:p>
    <w:p w14:paraId="44F8992A" w14:textId="77777777" w:rsidR="0033454E" w:rsidRDefault="0033454E" w:rsidP="0033454E">
      <w:pPr>
        <w:rPr>
          <w:rFonts w:cs="Arial"/>
          <w:color w:val="000000" w:themeColor="text1"/>
          <w:szCs w:val="22"/>
          <w:lang w:eastAsia="en-GB" w:bidi="ar-SA"/>
        </w:rPr>
      </w:pPr>
      <w:r w:rsidRPr="007A5EB5">
        <w:rPr>
          <w:rFonts w:cs="Arial"/>
          <w:color w:val="000000" w:themeColor="text1"/>
          <w:szCs w:val="22"/>
          <w:lang w:eastAsia="en-AU" w:bidi="ar-SA"/>
        </w:rPr>
        <w:t xml:space="preserve">Results from the protein expression levels </w:t>
      </w:r>
      <w:r w:rsidRPr="004F4FDA">
        <w:rPr>
          <w:rFonts w:cs="Arial"/>
          <w:color w:val="000000" w:themeColor="text1"/>
          <w:szCs w:val="22"/>
          <w:lang w:eastAsia="en-AU" w:bidi="ar-SA"/>
        </w:rPr>
        <w:t>(Section 4.1.3) clearly</w:t>
      </w:r>
      <w:r w:rsidRPr="007A5EB5">
        <w:rPr>
          <w:rFonts w:cs="Arial"/>
          <w:color w:val="000000" w:themeColor="text1"/>
          <w:szCs w:val="22"/>
          <w:lang w:eastAsia="en-AU" w:bidi="ar-SA"/>
        </w:rPr>
        <w:t xml:space="preserve"> show that neither the Barnase </w:t>
      </w:r>
      <w:r w:rsidRPr="00F473B2">
        <w:rPr>
          <w:rFonts w:cs="Arial"/>
          <w:color w:val="000000" w:themeColor="text1"/>
          <w:szCs w:val="22"/>
          <w:lang w:eastAsia="en-AU" w:bidi="ar-SA"/>
        </w:rPr>
        <w:t xml:space="preserve">nor Barstar protein is expressed </w:t>
      </w:r>
      <w:r>
        <w:rPr>
          <w:rFonts w:cs="Arial"/>
          <w:color w:val="000000" w:themeColor="text1"/>
          <w:szCs w:val="22"/>
          <w:lang w:eastAsia="en-AU" w:bidi="ar-SA"/>
        </w:rPr>
        <w:t xml:space="preserve">in significant enough amounts in MS11 to be used in safety evaluations. However, even </w:t>
      </w:r>
      <w:r>
        <w:rPr>
          <w:rFonts w:cs="Arial"/>
          <w:color w:val="000000" w:themeColor="text1"/>
          <w:szCs w:val="22"/>
          <w:lang w:eastAsia="en-GB" w:bidi="ar-SA"/>
        </w:rPr>
        <w:t>r</w:t>
      </w:r>
      <w:r w:rsidRPr="00F473B2">
        <w:rPr>
          <w:rFonts w:cs="Arial"/>
          <w:color w:val="000000" w:themeColor="text1"/>
          <w:szCs w:val="22"/>
          <w:lang w:eastAsia="en-GB" w:bidi="ar-SA"/>
        </w:rPr>
        <w:t>epeated attempts by the Applicant to purify or further enrich either the Barnase or Barstar protein from MS11</w:t>
      </w:r>
      <w:r>
        <w:rPr>
          <w:rFonts w:cs="Arial"/>
          <w:color w:val="000000" w:themeColor="text1"/>
          <w:szCs w:val="22"/>
          <w:lang w:eastAsia="en-GB" w:bidi="ar-SA"/>
        </w:rPr>
        <w:t xml:space="preserve"> (for purposes of characterisation)</w:t>
      </w:r>
      <w:r w:rsidRPr="00F473B2">
        <w:rPr>
          <w:rFonts w:cs="Arial"/>
          <w:color w:val="000000" w:themeColor="text1"/>
          <w:szCs w:val="22"/>
          <w:lang w:eastAsia="en-GB" w:bidi="ar-SA"/>
        </w:rPr>
        <w:t xml:space="preserve">, using </w:t>
      </w:r>
      <w:r>
        <w:rPr>
          <w:rFonts w:cs="Arial"/>
          <w:color w:val="000000" w:themeColor="text1"/>
          <w:szCs w:val="22"/>
          <w:lang w:eastAsia="en-GB" w:bidi="ar-SA"/>
        </w:rPr>
        <w:t xml:space="preserve">immuno-affinity chromatography, </w:t>
      </w:r>
      <w:r w:rsidRPr="00F473B2">
        <w:rPr>
          <w:rFonts w:cs="Arial"/>
          <w:color w:val="000000" w:themeColor="text1"/>
          <w:szCs w:val="22"/>
          <w:lang w:eastAsia="en-GB" w:bidi="ar-SA"/>
        </w:rPr>
        <w:t>were unsuccessful, as contaminants were also co-purified during this process. As such, both proteins in MS11</w:t>
      </w:r>
      <w:r w:rsidRPr="00F473B2">
        <w:rPr>
          <w:rFonts w:cs="Arial"/>
          <w:i/>
          <w:iCs/>
          <w:color w:val="000000" w:themeColor="text1"/>
          <w:szCs w:val="22"/>
          <w:lang w:eastAsia="en-GB" w:bidi="ar-SA"/>
        </w:rPr>
        <w:t xml:space="preserve"> </w:t>
      </w:r>
      <w:r w:rsidRPr="004F4FDA">
        <w:rPr>
          <w:rFonts w:cs="Arial"/>
          <w:color w:val="000000" w:themeColor="text1"/>
          <w:szCs w:val="22"/>
          <w:lang w:eastAsia="en-GB" w:bidi="ar-SA"/>
        </w:rPr>
        <w:t>are classified</w:t>
      </w:r>
      <w:r w:rsidRPr="00F473B2">
        <w:rPr>
          <w:rFonts w:cs="Arial"/>
          <w:color w:val="000000" w:themeColor="text1"/>
          <w:szCs w:val="22"/>
          <w:lang w:eastAsia="en-GB" w:bidi="ar-SA"/>
        </w:rPr>
        <w:t xml:space="preserve"> as intractable </w:t>
      </w:r>
      <w:r>
        <w:rPr>
          <w:rFonts w:cs="Arial"/>
          <w:noProof/>
          <w:color w:val="000000" w:themeColor="text1"/>
          <w:szCs w:val="22"/>
          <w:lang w:eastAsia="en-GB" w:bidi="ar-SA"/>
        </w:rPr>
        <w:t>(Bushey et al. 2014)</w:t>
      </w:r>
      <w:r w:rsidRPr="00F473B2">
        <w:rPr>
          <w:rFonts w:cs="Arial"/>
          <w:color w:val="000000" w:themeColor="text1"/>
          <w:szCs w:val="22"/>
          <w:lang w:eastAsia="en-GB" w:bidi="ar-SA"/>
        </w:rPr>
        <w:t xml:space="preserve">. </w:t>
      </w:r>
    </w:p>
    <w:p w14:paraId="1018A8DE" w14:textId="77777777" w:rsidR="0033454E" w:rsidRDefault="0033454E" w:rsidP="0033454E">
      <w:pPr>
        <w:rPr>
          <w:rFonts w:cs="Arial"/>
          <w:color w:val="000000" w:themeColor="text1"/>
          <w:szCs w:val="22"/>
          <w:lang w:eastAsia="en-GB" w:bidi="ar-SA"/>
        </w:rPr>
      </w:pPr>
    </w:p>
    <w:p w14:paraId="1D130080" w14:textId="606194BD" w:rsidR="0033454E" w:rsidRPr="004F4FDA" w:rsidRDefault="0033454E" w:rsidP="0033454E">
      <w:pPr>
        <w:rPr>
          <w:rFonts w:cs="Arial"/>
          <w:color w:val="000000" w:themeColor="text1"/>
          <w:szCs w:val="22"/>
          <w:lang w:eastAsia="en-GB" w:bidi="ar-SA"/>
        </w:rPr>
      </w:pPr>
      <w:r w:rsidRPr="00F473B2">
        <w:rPr>
          <w:rFonts w:cs="Arial"/>
          <w:color w:val="000000" w:themeColor="text1"/>
          <w:szCs w:val="22"/>
          <w:lang w:eastAsia="en-GB" w:bidi="ar-SA"/>
        </w:rPr>
        <w:t xml:space="preserve">Therefore, a weight of evidence approach had to be used to assess the equivalence of the intractable </w:t>
      </w:r>
      <w:r>
        <w:rPr>
          <w:rFonts w:cs="Arial"/>
          <w:color w:val="000000" w:themeColor="text1"/>
          <w:szCs w:val="22"/>
          <w:lang w:eastAsia="en-GB" w:bidi="ar-SA"/>
        </w:rPr>
        <w:t xml:space="preserve">plant </w:t>
      </w:r>
      <w:r w:rsidRPr="00F473B2">
        <w:rPr>
          <w:rFonts w:cs="Arial"/>
          <w:color w:val="000000" w:themeColor="text1"/>
          <w:szCs w:val="22"/>
          <w:lang w:eastAsia="en-GB" w:bidi="ar-SA"/>
        </w:rPr>
        <w:t>protein</w:t>
      </w:r>
      <w:r>
        <w:rPr>
          <w:rFonts w:cs="Arial"/>
          <w:color w:val="000000" w:themeColor="text1"/>
          <w:szCs w:val="22"/>
          <w:lang w:eastAsia="en-GB" w:bidi="ar-SA"/>
        </w:rPr>
        <w:t>s</w:t>
      </w:r>
      <w:r w:rsidRPr="00F473B2">
        <w:rPr>
          <w:rFonts w:cs="Arial"/>
          <w:color w:val="000000" w:themeColor="text1"/>
          <w:szCs w:val="22"/>
          <w:lang w:eastAsia="en-GB" w:bidi="ar-SA"/>
        </w:rPr>
        <w:t xml:space="preserve"> with the microbially-produced protein</w:t>
      </w:r>
      <w:r>
        <w:rPr>
          <w:rFonts w:cs="Arial"/>
          <w:color w:val="000000" w:themeColor="text1"/>
          <w:szCs w:val="22"/>
          <w:lang w:eastAsia="en-GB" w:bidi="ar-SA"/>
        </w:rPr>
        <w:t xml:space="preserve">s and hence to indirectly characterise the plant-produced proteins. It is noted, however, that the sequence analysis of the MS11 insert confirmed the expected sequences of both the </w:t>
      </w:r>
      <w:r w:rsidRPr="008839C8">
        <w:rPr>
          <w:rFonts w:cs="Arial"/>
          <w:i/>
          <w:color w:val="000000" w:themeColor="text1"/>
          <w:szCs w:val="22"/>
          <w:lang w:eastAsia="en-GB" w:bidi="ar-SA"/>
        </w:rPr>
        <w:t>barnase</w:t>
      </w:r>
      <w:r>
        <w:rPr>
          <w:rFonts w:cs="Arial"/>
          <w:color w:val="000000" w:themeColor="text1"/>
          <w:szCs w:val="22"/>
          <w:lang w:eastAsia="en-GB" w:bidi="ar-SA"/>
        </w:rPr>
        <w:t xml:space="preserve"> and </w:t>
      </w:r>
      <w:r w:rsidRPr="008839C8">
        <w:rPr>
          <w:rFonts w:cs="Arial"/>
          <w:i/>
          <w:color w:val="000000" w:themeColor="text1"/>
          <w:szCs w:val="22"/>
          <w:lang w:eastAsia="en-GB" w:bidi="ar-SA"/>
        </w:rPr>
        <w:t>barstar</w:t>
      </w:r>
      <w:r>
        <w:rPr>
          <w:rFonts w:cs="Arial"/>
          <w:color w:val="000000" w:themeColor="text1"/>
          <w:szCs w:val="22"/>
          <w:lang w:eastAsia="en-GB" w:bidi="ar-SA"/>
        </w:rPr>
        <w:t xml:space="preserve"> genes. From these, the expected protein sequence was translated (</w:t>
      </w:r>
      <w:r w:rsidRPr="004F4FDA">
        <w:rPr>
          <w:rFonts w:cs="Arial"/>
          <w:color w:val="000000" w:themeColor="text1"/>
          <w:szCs w:val="22"/>
          <w:lang w:eastAsia="en-GB" w:bidi="ar-SA"/>
        </w:rPr>
        <w:t xml:space="preserve">see Section 4.1.2). It is also noted that, a) in the case of the Barnase protein, MS11 showed the expected male sterile phenotype and hence that a functional Barnase protein had been expressed and b) that, in the case of Barstar, a comparison of the use of the pTCO113 plasmid in transformation with an otherwise identical plasmid lacking the </w:t>
      </w:r>
      <w:r w:rsidRPr="004F4FDA">
        <w:rPr>
          <w:rFonts w:cs="Arial"/>
          <w:i/>
          <w:color w:val="000000" w:themeColor="text1"/>
          <w:szCs w:val="22"/>
          <w:lang w:eastAsia="en-GB" w:bidi="ar-SA"/>
        </w:rPr>
        <w:t>nos-barstar</w:t>
      </w:r>
      <w:r w:rsidRPr="004F4FDA">
        <w:rPr>
          <w:rFonts w:cs="Arial"/>
          <w:color w:val="000000" w:themeColor="text1"/>
          <w:szCs w:val="22"/>
          <w:lang w:eastAsia="en-GB" w:bidi="ar-SA"/>
        </w:rPr>
        <w:t xml:space="preserve"> gene</w:t>
      </w:r>
      <w:r w:rsidRPr="004F4FDA">
        <w:rPr>
          <w:color w:val="000000" w:themeColor="text1"/>
          <w:lang w:val="en-US"/>
        </w:rPr>
        <w:t xml:space="preserve"> </w:t>
      </w:r>
      <w:r w:rsidRPr="004F4FDA">
        <w:rPr>
          <w:rFonts w:cs="Arial"/>
          <w:color w:val="000000" w:themeColor="text1"/>
          <w:szCs w:val="22"/>
          <w:lang w:eastAsia="en-GB" w:bidi="ar-SA"/>
        </w:rPr>
        <w:t>gave a higher percentage of good</w:t>
      </w:r>
      <w:r w:rsidR="009F70F2">
        <w:rPr>
          <w:rFonts w:cs="Arial"/>
          <w:color w:val="000000" w:themeColor="text1"/>
          <w:szCs w:val="22"/>
          <w:lang w:eastAsia="en-GB" w:bidi="ar-SA"/>
        </w:rPr>
        <w:t xml:space="preserve"> performing</w:t>
      </w:r>
      <w:r w:rsidRPr="004F4FDA">
        <w:rPr>
          <w:rFonts w:cs="Arial"/>
          <w:color w:val="000000" w:themeColor="text1"/>
          <w:szCs w:val="22"/>
          <w:lang w:eastAsia="en-GB" w:bidi="ar-SA"/>
        </w:rPr>
        <w:t xml:space="preserve"> male-sterile canola plants </w:t>
      </w:r>
      <w:r>
        <w:rPr>
          <w:noProof/>
          <w:color w:val="000000" w:themeColor="text1"/>
          <w:lang w:val="en-US"/>
        </w:rPr>
        <w:t>(Michiels et al. 2000)</w:t>
      </w:r>
      <w:r w:rsidRPr="004F4FDA">
        <w:rPr>
          <w:color w:val="000000" w:themeColor="text1"/>
          <w:lang w:val="en-US"/>
        </w:rPr>
        <w:t xml:space="preserve"> </w:t>
      </w:r>
      <w:r w:rsidRPr="004F4FDA">
        <w:rPr>
          <w:rFonts w:cs="Arial"/>
          <w:color w:val="000000" w:themeColor="text1"/>
          <w:szCs w:val="22"/>
          <w:lang w:eastAsia="en-GB" w:bidi="ar-SA"/>
        </w:rPr>
        <w:t>i.e. that the Barstar expression brought about the desired phenotype and hence is a functional protein.</w:t>
      </w:r>
    </w:p>
    <w:p w14:paraId="7D06FCA6" w14:textId="77777777" w:rsidR="0033454E" w:rsidRPr="004F4FDA" w:rsidRDefault="0033454E" w:rsidP="0033454E">
      <w:pPr>
        <w:rPr>
          <w:rFonts w:cs="Arial"/>
          <w:color w:val="000000" w:themeColor="text1"/>
          <w:szCs w:val="22"/>
          <w:lang w:eastAsia="en-GB" w:bidi="ar-SA"/>
        </w:rPr>
      </w:pPr>
    </w:p>
    <w:p w14:paraId="10175775" w14:textId="77777777" w:rsidR="0033454E" w:rsidRDefault="0033454E" w:rsidP="0033454E">
      <w:pPr>
        <w:rPr>
          <w:rFonts w:cs="Arial"/>
          <w:color w:val="000000" w:themeColor="text1"/>
          <w:szCs w:val="22"/>
          <w:lang w:eastAsia="en-GB" w:bidi="ar-SA"/>
        </w:rPr>
      </w:pPr>
      <w:r w:rsidRPr="004F4FDA">
        <w:rPr>
          <w:rFonts w:cs="Arial"/>
          <w:color w:val="000000" w:themeColor="text1"/>
          <w:szCs w:val="22"/>
          <w:lang w:eastAsia="en-GB" w:bidi="ar-SA"/>
        </w:rPr>
        <w:t>In addition, since Barstar was expressed at a low level in root tissue of MS11(see Table 4), it</w:t>
      </w:r>
      <w:r>
        <w:rPr>
          <w:rFonts w:cs="Arial"/>
          <w:color w:val="000000" w:themeColor="text1"/>
          <w:szCs w:val="22"/>
          <w:lang w:eastAsia="en-GB" w:bidi="ar-SA"/>
        </w:rPr>
        <w:t xml:space="preserve"> was possible to obtain a total protein extract from MS11 roots, that could be used in a western blot analysis for Barstar and compared directly with an extract taken from roots of non-GM N90-740 spiked with Barstar protein purified from </w:t>
      </w:r>
      <w:r w:rsidRPr="00471A4B">
        <w:rPr>
          <w:rFonts w:cs="Arial"/>
          <w:i/>
          <w:color w:val="000000" w:themeColor="text1"/>
          <w:szCs w:val="22"/>
          <w:lang w:eastAsia="en-GB" w:bidi="ar-SA"/>
        </w:rPr>
        <w:t>E. coli</w:t>
      </w:r>
      <w:r>
        <w:rPr>
          <w:rFonts w:cs="Arial"/>
          <w:color w:val="000000" w:themeColor="text1"/>
          <w:szCs w:val="22"/>
          <w:lang w:eastAsia="en-GB" w:bidi="ar-SA"/>
        </w:rPr>
        <w:t>. This analysis showed a clear unique band at approximately 10 kDa (which compared with the calculated molecular weight of 10.34 kDa) for samples from both sources.</w:t>
      </w:r>
    </w:p>
    <w:p w14:paraId="6A82CD3D" w14:textId="6534AA0F" w:rsidR="00A35DB9" w:rsidRDefault="00A35DB9" w:rsidP="0033454E">
      <w:pPr>
        <w:rPr>
          <w:lang w:eastAsia="en-AU" w:bidi="ar-SA"/>
        </w:rPr>
      </w:pPr>
      <w:r>
        <w:rPr>
          <w:lang w:eastAsia="en-AU" w:bidi="ar-SA"/>
        </w:rPr>
        <w:br w:type="page"/>
      </w:r>
    </w:p>
    <w:p w14:paraId="37087DAB" w14:textId="77777777" w:rsidR="0033454E" w:rsidRPr="00036674" w:rsidRDefault="0033454E" w:rsidP="0033454E">
      <w:pPr>
        <w:widowControl/>
        <w:autoSpaceDE w:val="0"/>
        <w:autoSpaceDN w:val="0"/>
        <w:adjustRightInd w:val="0"/>
        <w:rPr>
          <w:rFonts w:cs="Arial"/>
          <w:szCs w:val="22"/>
          <w:lang w:eastAsia="en-GB" w:bidi="ar-SA"/>
        </w:rPr>
      </w:pPr>
      <w:r w:rsidRPr="00036674">
        <w:rPr>
          <w:rFonts w:cs="Arial"/>
          <w:szCs w:val="22"/>
          <w:lang w:eastAsia="en-AU" w:bidi="ar-SA"/>
        </w:rPr>
        <w:lastRenderedPageBreak/>
        <w:t xml:space="preserve">In terms of the </w:t>
      </w:r>
      <w:r w:rsidRPr="00036674">
        <w:rPr>
          <w:rFonts w:cs="Arial"/>
          <w:i/>
          <w:szCs w:val="22"/>
          <w:lang w:eastAsia="en-AU" w:bidi="ar-SA"/>
        </w:rPr>
        <w:t>E.coli</w:t>
      </w:r>
      <w:r w:rsidRPr="00036674">
        <w:rPr>
          <w:rFonts w:cs="Arial"/>
          <w:szCs w:val="22"/>
          <w:lang w:eastAsia="en-AU" w:bidi="ar-SA"/>
        </w:rPr>
        <w:t xml:space="preserve">-produced proteins, the following analyses were done </w:t>
      </w:r>
      <w:r w:rsidRPr="00036674">
        <w:rPr>
          <w:rFonts w:cs="Arial"/>
          <w:szCs w:val="22"/>
          <w:lang w:eastAsia="en-GB" w:bidi="ar-SA"/>
        </w:rPr>
        <w:t>(performed on two separate batches of Barnase and four separate batches of Barstar):</w:t>
      </w:r>
    </w:p>
    <w:p w14:paraId="5BC9E129" w14:textId="77777777" w:rsidR="0033454E" w:rsidRPr="00B8074B" w:rsidRDefault="0033454E" w:rsidP="0033454E">
      <w:pPr>
        <w:rPr>
          <w:rFonts w:cs="Arial"/>
          <w:szCs w:val="22"/>
          <w:lang w:eastAsia="en-AU" w:bidi="ar-SA"/>
        </w:rPr>
      </w:pPr>
    </w:p>
    <w:p w14:paraId="40D770A6" w14:textId="608246C0" w:rsidR="0033454E" w:rsidRPr="00E5589F" w:rsidRDefault="0033454E" w:rsidP="001E4C6F">
      <w:pPr>
        <w:pStyle w:val="FSBullet1"/>
        <w:autoSpaceDE w:val="0"/>
        <w:autoSpaceDN w:val="0"/>
        <w:adjustRightInd w:val="0"/>
        <w:rPr>
          <w:szCs w:val="22"/>
          <w:lang w:eastAsia="en-GB"/>
        </w:rPr>
      </w:pPr>
      <w:r w:rsidRPr="001E4C6F">
        <w:rPr>
          <w:b/>
          <w:lang w:eastAsia="en-GB"/>
        </w:rPr>
        <w:t xml:space="preserve">SDS-PAGE and western blot </w:t>
      </w:r>
      <w:r w:rsidRPr="00E5589F">
        <w:rPr>
          <w:szCs w:val="22"/>
          <w:lang w:eastAsia="en-GB"/>
        </w:rPr>
        <w:t>The antibodies used for the western blots were:</w:t>
      </w:r>
    </w:p>
    <w:p w14:paraId="7619035D" w14:textId="77777777" w:rsidR="00E5589F" w:rsidRPr="00B8074B" w:rsidRDefault="00E5589F" w:rsidP="0033454E">
      <w:pPr>
        <w:pStyle w:val="ListParagraph"/>
        <w:widowControl/>
        <w:autoSpaceDE w:val="0"/>
        <w:autoSpaceDN w:val="0"/>
        <w:adjustRightInd w:val="0"/>
        <w:ind w:left="567"/>
        <w:rPr>
          <w:rFonts w:cs="Arial"/>
          <w:szCs w:val="22"/>
          <w:lang w:eastAsia="en-GB" w:bidi="ar-SA"/>
        </w:rPr>
      </w:pPr>
    </w:p>
    <w:p w14:paraId="2409559E" w14:textId="0BB364B9" w:rsidR="0033454E" w:rsidRPr="00A2689C" w:rsidRDefault="0033454E" w:rsidP="001E4C6F">
      <w:pPr>
        <w:pStyle w:val="FSBullet2"/>
        <w:rPr>
          <w:lang w:eastAsia="en-GB"/>
        </w:rPr>
      </w:pPr>
      <w:r w:rsidRPr="00B8074B">
        <w:rPr>
          <w:lang w:eastAsia="en-GB"/>
        </w:rPr>
        <w:t>For Barnase – rabbit anti-Barnase primary antibody follo</w:t>
      </w:r>
      <w:r w:rsidRPr="00A2689C">
        <w:rPr>
          <w:lang w:eastAsia="en-GB"/>
        </w:rPr>
        <w:t>wed by goat anti-rabbit AP-conjugated or goat anti-rabbit horseradish peroxidase(HRP)-conjugated secondary antibody</w:t>
      </w:r>
    </w:p>
    <w:p w14:paraId="1526428D" w14:textId="77777777" w:rsidR="0033454E" w:rsidRPr="00A2689C" w:rsidRDefault="0033454E" w:rsidP="001E4C6F">
      <w:pPr>
        <w:pStyle w:val="FSBullet2"/>
        <w:rPr>
          <w:lang w:eastAsia="en-GB"/>
        </w:rPr>
      </w:pPr>
      <w:r w:rsidRPr="00A2689C">
        <w:rPr>
          <w:lang w:eastAsia="en-GB"/>
        </w:rPr>
        <w:t>For Barstar - rabbit anti-Barstar primary antibody followed by goat anti-rabbit AP-conjugated secondary antibody.</w:t>
      </w:r>
    </w:p>
    <w:p w14:paraId="77D3DEE1" w14:textId="77777777" w:rsidR="0033454E" w:rsidRPr="00A2689C" w:rsidRDefault="0033454E" w:rsidP="0033454E">
      <w:pPr>
        <w:widowControl/>
        <w:autoSpaceDE w:val="0"/>
        <w:autoSpaceDN w:val="0"/>
        <w:adjustRightInd w:val="0"/>
        <w:ind w:left="567" w:hanging="567"/>
        <w:rPr>
          <w:rFonts w:cs="Arial"/>
          <w:szCs w:val="22"/>
          <w:lang w:eastAsia="en-GB" w:bidi="ar-SA"/>
        </w:rPr>
      </w:pPr>
    </w:p>
    <w:p w14:paraId="161A5EC5" w14:textId="77777777" w:rsidR="0033454E" w:rsidRPr="00B8074B" w:rsidRDefault="0033454E" w:rsidP="001E4C6F">
      <w:pPr>
        <w:pStyle w:val="FSBullet1"/>
        <w:rPr>
          <w:lang w:eastAsia="en-GB"/>
        </w:rPr>
      </w:pPr>
      <w:r w:rsidRPr="00A2689C">
        <w:rPr>
          <w:lang w:eastAsia="en-GB"/>
        </w:rPr>
        <w:t>Liquid Chromatography-UV-MS</w:t>
      </w:r>
      <w:r w:rsidRPr="00B8074B">
        <w:rPr>
          <w:lang w:eastAsia="en-GB"/>
        </w:rPr>
        <w:t xml:space="preserve"> (</w:t>
      </w:r>
      <w:r w:rsidRPr="001E4C6F">
        <w:rPr>
          <w:b/>
          <w:lang w:eastAsia="en-GB"/>
        </w:rPr>
        <w:t>LC-UV-MS) or UPLC-UV-MS</w:t>
      </w:r>
      <w:r w:rsidRPr="00A2689C">
        <w:rPr>
          <w:lang w:eastAsia="en-GB"/>
        </w:rPr>
        <w:t xml:space="preserve"> were used for chemical average mass determination and peptide mapping</w:t>
      </w:r>
      <w:r w:rsidRPr="00B8074B">
        <w:rPr>
          <w:lang w:eastAsia="en-GB"/>
        </w:rPr>
        <w:t xml:space="preserve"> of an endo</w:t>
      </w:r>
      <w:r>
        <w:rPr>
          <w:lang w:eastAsia="en-GB"/>
        </w:rPr>
        <w:t>proteinase Glu-C digest of each</w:t>
      </w:r>
      <w:r w:rsidRPr="00B8074B">
        <w:rPr>
          <w:lang w:eastAsia="en-GB"/>
        </w:rPr>
        <w:t xml:space="preserve"> protein</w:t>
      </w:r>
      <w:r>
        <w:rPr>
          <w:lang w:eastAsia="en-GB"/>
        </w:rPr>
        <w:t>.</w:t>
      </w:r>
      <w:r w:rsidRPr="00B8074B">
        <w:rPr>
          <w:lang w:eastAsia="en-GB"/>
        </w:rPr>
        <w:t xml:space="preserve"> </w:t>
      </w:r>
      <w:r>
        <w:rPr>
          <w:lang w:eastAsia="en-GB"/>
        </w:rPr>
        <w:t>Both</w:t>
      </w:r>
      <w:r w:rsidRPr="00B8074B">
        <w:rPr>
          <w:lang w:eastAsia="en-GB"/>
        </w:rPr>
        <w:t xml:space="preserve"> automated </w:t>
      </w:r>
      <w:r w:rsidRPr="001E4C6F">
        <w:rPr>
          <w:b/>
          <w:lang w:eastAsia="en-GB"/>
        </w:rPr>
        <w:t>Edman degradation</w:t>
      </w:r>
      <w:r>
        <w:rPr>
          <w:lang w:eastAsia="en-GB"/>
        </w:rPr>
        <w:t xml:space="preserve"> and UPLC-UV-MS were</w:t>
      </w:r>
      <w:r w:rsidRPr="00B8074B">
        <w:rPr>
          <w:lang w:eastAsia="en-GB"/>
        </w:rPr>
        <w:t xml:space="preserve"> used to determine as much of the N-terminal sequence as possible.</w:t>
      </w:r>
    </w:p>
    <w:p w14:paraId="0CB256CE" w14:textId="77777777" w:rsidR="0033454E" w:rsidRPr="00B8074B" w:rsidRDefault="0033454E" w:rsidP="0033454E">
      <w:pPr>
        <w:widowControl/>
        <w:autoSpaceDE w:val="0"/>
        <w:autoSpaceDN w:val="0"/>
        <w:adjustRightInd w:val="0"/>
        <w:rPr>
          <w:rFonts w:cs="Arial"/>
          <w:szCs w:val="22"/>
          <w:lang w:eastAsia="en-GB" w:bidi="ar-SA"/>
        </w:rPr>
      </w:pPr>
    </w:p>
    <w:p w14:paraId="30B8C8E5" w14:textId="1FCE08A5" w:rsidR="0033454E" w:rsidRDefault="0033454E" w:rsidP="001E4C6F">
      <w:pPr>
        <w:pStyle w:val="FSBullet1"/>
        <w:rPr>
          <w:lang w:eastAsia="en-GB"/>
        </w:rPr>
      </w:pPr>
      <w:r w:rsidRPr="001E4C6F">
        <w:rPr>
          <w:b/>
          <w:lang w:eastAsia="en-GB"/>
        </w:rPr>
        <w:t>Glycosylation analysis</w:t>
      </w:r>
      <w:r w:rsidRPr="00B8074B">
        <w:rPr>
          <w:lang w:eastAsia="en-GB"/>
        </w:rPr>
        <w:t xml:space="preserve"> – using the same system as described </w:t>
      </w:r>
      <w:r w:rsidRPr="004F4FDA">
        <w:rPr>
          <w:lang w:eastAsia="en-GB"/>
        </w:rPr>
        <w:t>in Section 4.1.4.1.</w:t>
      </w:r>
    </w:p>
    <w:p w14:paraId="3E2E53C5" w14:textId="77777777" w:rsidR="00E5589F" w:rsidRPr="004F4FDA" w:rsidRDefault="00E5589F" w:rsidP="001E4C6F">
      <w:pPr>
        <w:pStyle w:val="ListParagraph"/>
        <w:widowControl/>
        <w:autoSpaceDE w:val="0"/>
        <w:autoSpaceDN w:val="0"/>
        <w:adjustRightInd w:val="0"/>
        <w:ind w:left="567"/>
        <w:rPr>
          <w:rFonts w:cs="Arial"/>
          <w:szCs w:val="22"/>
          <w:lang w:eastAsia="en-GB" w:bidi="ar-SA"/>
        </w:rPr>
      </w:pPr>
    </w:p>
    <w:p w14:paraId="5F303882" w14:textId="1A12813D" w:rsidR="0033454E" w:rsidRPr="00E5589F" w:rsidRDefault="0033454E" w:rsidP="001E4C6F">
      <w:pPr>
        <w:pStyle w:val="FSBullet1"/>
        <w:autoSpaceDE w:val="0"/>
        <w:autoSpaceDN w:val="0"/>
        <w:adjustRightInd w:val="0"/>
        <w:rPr>
          <w:szCs w:val="22"/>
          <w:lang w:eastAsia="en-GB"/>
        </w:rPr>
      </w:pPr>
      <w:r w:rsidRPr="001E4C6F">
        <w:rPr>
          <w:b/>
          <w:lang w:eastAsia="en-GB"/>
        </w:rPr>
        <w:t>Enzymatic activity</w:t>
      </w:r>
      <w:r w:rsidR="00E5589F" w:rsidRPr="00E5589F">
        <w:rPr>
          <w:b/>
          <w:lang w:eastAsia="en-GB"/>
        </w:rPr>
        <w:t xml:space="preserve"> </w:t>
      </w:r>
      <w:r w:rsidRPr="00E5589F">
        <w:rPr>
          <w:szCs w:val="22"/>
          <w:lang w:eastAsia="en-GB"/>
        </w:rPr>
        <w:t xml:space="preserve">The activity of the Barnase and Barstar proteins was assessed using the RNase Alert Lab Test Kit (Applied Biosystems). The fluorescent substrate used in this kit is a modified RNA oligonucleotide that emits green fluorescence when being cleaved by an RNase such as Barnase. If only Barnase is added to the substrate, a high fluorescence signal is measured. If additionally the specific Barnase inhibitor Barstar is added to the substrate, the Barnase forms a complex with Barstar and is not able to cleave the fluorescent substrate which therefore yields a lower fluorescence signal, showing that the RNase activity measured in the assay is specifically due to Barnase activity. </w:t>
      </w:r>
    </w:p>
    <w:p w14:paraId="57F4C916" w14:textId="77777777" w:rsidR="0033454E" w:rsidRDefault="0033454E" w:rsidP="0033454E">
      <w:pPr>
        <w:widowControl/>
        <w:autoSpaceDE w:val="0"/>
        <w:autoSpaceDN w:val="0"/>
        <w:adjustRightInd w:val="0"/>
        <w:ind w:left="567"/>
        <w:rPr>
          <w:rFonts w:cs="Arial"/>
          <w:szCs w:val="22"/>
          <w:lang w:eastAsia="en-GB" w:bidi="ar-SA"/>
        </w:rPr>
      </w:pPr>
    </w:p>
    <w:p w14:paraId="64D3467A" w14:textId="77777777" w:rsidR="0033454E" w:rsidRPr="00D84CF1" w:rsidRDefault="0033454E" w:rsidP="0033454E">
      <w:pPr>
        <w:widowControl/>
        <w:autoSpaceDE w:val="0"/>
        <w:autoSpaceDN w:val="0"/>
        <w:adjustRightInd w:val="0"/>
        <w:ind w:left="567"/>
        <w:rPr>
          <w:rFonts w:cs="Arial"/>
          <w:szCs w:val="22"/>
          <w:lang w:eastAsia="en-GB" w:bidi="ar-SA"/>
        </w:rPr>
      </w:pPr>
      <w:r>
        <w:rPr>
          <w:rFonts w:cs="Arial"/>
          <w:szCs w:val="22"/>
          <w:lang w:eastAsia="en-GB" w:bidi="ar-SA"/>
        </w:rPr>
        <w:t xml:space="preserve">For Barnase, the rate of formation of the fluorescent product, monitored over time, is converted to specific </w:t>
      </w:r>
      <w:r w:rsidRPr="00D84CF1">
        <w:rPr>
          <w:rFonts w:cs="Arial"/>
          <w:szCs w:val="22"/>
          <w:lang w:eastAsia="en-GB" w:bidi="ar-SA"/>
        </w:rPr>
        <w:t xml:space="preserve">activity </w:t>
      </w:r>
      <w:r>
        <w:rPr>
          <w:rFonts w:cs="Arial"/>
          <w:szCs w:val="22"/>
          <w:lang w:eastAsia="en-GB" w:bidi="ar-SA"/>
        </w:rPr>
        <w:t>(μ</w:t>
      </w:r>
      <w:r w:rsidRPr="00D84CF1">
        <w:rPr>
          <w:rFonts w:cs="Arial"/>
          <w:szCs w:val="22"/>
          <w:lang w:eastAsia="en-GB" w:bidi="ar-SA"/>
        </w:rPr>
        <w:t>mol of p</w:t>
      </w:r>
      <w:r>
        <w:rPr>
          <w:rFonts w:cs="Arial"/>
          <w:szCs w:val="22"/>
          <w:lang w:eastAsia="en-GB" w:bidi="ar-SA"/>
        </w:rPr>
        <w:t xml:space="preserve">roduct formed per min per mg of </w:t>
      </w:r>
      <w:r w:rsidRPr="00D84CF1">
        <w:rPr>
          <w:rFonts w:cs="Arial"/>
          <w:szCs w:val="22"/>
          <w:lang w:eastAsia="en-GB" w:bidi="ar-SA"/>
        </w:rPr>
        <w:t>Barnase).</w:t>
      </w:r>
    </w:p>
    <w:p w14:paraId="1843AF55" w14:textId="77777777" w:rsidR="0033454E" w:rsidRPr="00CC77F4" w:rsidRDefault="0033454E" w:rsidP="0033454E">
      <w:pPr>
        <w:widowControl/>
        <w:autoSpaceDE w:val="0"/>
        <w:autoSpaceDN w:val="0"/>
        <w:adjustRightInd w:val="0"/>
        <w:rPr>
          <w:rFonts w:cs="Arial"/>
          <w:szCs w:val="22"/>
          <w:lang w:eastAsia="en-GB" w:bidi="ar-SA"/>
        </w:rPr>
      </w:pPr>
    </w:p>
    <w:p w14:paraId="77AA10C4" w14:textId="77777777" w:rsidR="0033454E" w:rsidRPr="00CC77F4" w:rsidRDefault="0033454E" w:rsidP="0033454E">
      <w:pPr>
        <w:widowControl/>
        <w:autoSpaceDE w:val="0"/>
        <w:autoSpaceDN w:val="0"/>
        <w:adjustRightInd w:val="0"/>
        <w:ind w:left="567"/>
        <w:rPr>
          <w:rFonts w:cs="Arial"/>
          <w:color w:val="191919"/>
          <w:szCs w:val="22"/>
          <w:lang w:eastAsia="en-GB" w:bidi="ar-SA"/>
        </w:rPr>
      </w:pPr>
      <w:r>
        <w:rPr>
          <w:rFonts w:cs="Arial"/>
          <w:szCs w:val="22"/>
          <w:lang w:eastAsia="en-GB" w:bidi="ar-SA"/>
        </w:rPr>
        <w:t xml:space="preserve">For Barstar, </w:t>
      </w:r>
      <w:r>
        <w:rPr>
          <w:rFonts w:cs="Arial"/>
          <w:color w:val="191919"/>
          <w:szCs w:val="22"/>
          <w:lang w:eastAsia="en-GB" w:bidi="ar-SA"/>
        </w:rPr>
        <w:t>t</w:t>
      </w:r>
      <w:r w:rsidRPr="00CC77F4">
        <w:rPr>
          <w:rFonts w:cs="Arial"/>
          <w:color w:val="191919"/>
          <w:szCs w:val="22"/>
          <w:lang w:eastAsia="en-GB" w:bidi="ar-SA"/>
        </w:rPr>
        <w:t xml:space="preserve">he rates of Barnase titrated with different concentrations of Barstar is plotted against the concentration of Barstar, and this is then used to calculate </w:t>
      </w:r>
      <w:r w:rsidRPr="00A2689C">
        <w:rPr>
          <w:rFonts w:cs="Arial"/>
          <w:color w:val="191919"/>
          <w:szCs w:val="22"/>
          <w:lang w:eastAsia="en-GB" w:bidi="ar-SA"/>
        </w:rPr>
        <w:t>an IC</w:t>
      </w:r>
      <w:r w:rsidRPr="00A2689C">
        <w:rPr>
          <w:rFonts w:cs="Arial"/>
          <w:color w:val="191919"/>
          <w:szCs w:val="22"/>
          <w:vertAlign w:val="subscript"/>
          <w:lang w:eastAsia="en-GB" w:bidi="ar-SA"/>
        </w:rPr>
        <w:t>50</w:t>
      </w:r>
      <w:r w:rsidRPr="00CC77F4">
        <w:rPr>
          <w:rFonts w:cs="Arial"/>
          <w:color w:val="191919"/>
          <w:szCs w:val="22"/>
          <w:lang w:eastAsia="en-GB" w:bidi="ar-SA"/>
        </w:rPr>
        <w:t xml:space="preserve"> value. The IC</w:t>
      </w:r>
      <w:r w:rsidRPr="00CC77F4">
        <w:rPr>
          <w:rFonts w:cs="Arial"/>
          <w:color w:val="191919"/>
          <w:szCs w:val="22"/>
          <w:vertAlign w:val="subscript"/>
          <w:lang w:eastAsia="en-GB" w:bidi="ar-SA"/>
        </w:rPr>
        <w:t>50</w:t>
      </w:r>
      <w:r w:rsidRPr="00CC77F4">
        <w:rPr>
          <w:rFonts w:cs="Arial"/>
          <w:color w:val="191919"/>
          <w:szCs w:val="22"/>
          <w:lang w:eastAsia="en-GB" w:bidi="ar-SA"/>
        </w:rPr>
        <w:t xml:space="preserve"> is the half maximal inhibitory concentration; it is a measure of the effectiveness of a substance (Barstar) in inhibiting a specific biological biochemical function (Barnase activity). When comparing IC</w:t>
      </w:r>
      <w:r w:rsidRPr="00CC77F4">
        <w:rPr>
          <w:rFonts w:cs="Arial"/>
          <w:color w:val="191919"/>
          <w:szCs w:val="22"/>
          <w:vertAlign w:val="subscript"/>
          <w:lang w:eastAsia="en-GB" w:bidi="ar-SA"/>
        </w:rPr>
        <w:t>50</w:t>
      </w:r>
      <w:r w:rsidRPr="00CC77F4">
        <w:rPr>
          <w:rFonts w:cs="Arial"/>
          <w:color w:val="191919"/>
          <w:szCs w:val="22"/>
          <w:lang w:eastAsia="en-GB" w:bidi="ar-SA"/>
        </w:rPr>
        <w:t xml:space="preserve"> values, lower IC</w:t>
      </w:r>
      <w:r w:rsidRPr="00CC77F4">
        <w:rPr>
          <w:rFonts w:cs="Arial"/>
          <w:color w:val="191919"/>
          <w:szCs w:val="22"/>
          <w:vertAlign w:val="subscript"/>
          <w:lang w:eastAsia="en-GB" w:bidi="ar-SA"/>
        </w:rPr>
        <w:t>50</w:t>
      </w:r>
      <w:r w:rsidRPr="00CC77F4">
        <w:rPr>
          <w:rFonts w:cs="Arial"/>
          <w:color w:val="191919"/>
          <w:szCs w:val="22"/>
          <w:lang w:eastAsia="en-GB" w:bidi="ar-SA"/>
        </w:rPr>
        <w:t xml:space="preserve"> indicates higher activity of the inhibitor. </w:t>
      </w:r>
    </w:p>
    <w:p w14:paraId="52521495" w14:textId="77777777" w:rsidR="0033454E" w:rsidRPr="00B8074B" w:rsidRDefault="0033454E" w:rsidP="0033454E">
      <w:pPr>
        <w:rPr>
          <w:rFonts w:cs="Arial"/>
          <w:szCs w:val="22"/>
        </w:rPr>
      </w:pPr>
    </w:p>
    <w:p w14:paraId="31EC68D4" w14:textId="77777777" w:rsidR="0033454E" w:rsidRPr="00B8074B" w:rsidRDefault="0033454E" w:rsidP="0033454E">
      <w:pPr>
        <w:rPr>
          <w:rFonts w:cs="Arial"/>
          <w:szCs w:val="22"/>
        </w:rPr>
      </w:pPr>
      <w:r w:rsidRPr="00B8074B">
        <w:rPr>
          <w:rFonts w:cs="Arial"/>
          <w:szCs w:val="22"/>
        </w:rPr>
        <w:t>The results of the various analyses can be summarised as follows:</w:t>
      </w:r>
    </w:p>
    <w:p w14:paraId="557E588B" w14:textId="77777777" w:rsidR="0033454E" w:rsidRPr="00B8074B" w:rsidRDefault="0033454E" w:rsidP="0033454E">
      <w:pPr>
        <w:rPr>
          <w:rFonts w:cs="Arial"/>
          <w:szCs w:val="22"/>
        </w:rPr>
      </w:pPr>
    </w:p>
    <w:p w14:paraId="6B17A9EE" w14:textId="03712621" w:rsidR="0033454E" w:rsidRDefault="0033454E" w:rsidP="001E4C6F">
      <w:pPr>
        <w:pStyle w:val="FSBullet1"/>
      </w:pPr>
      <w:r w:rsidRPr="00B8074B">
        <w:rPr>
          <w:lang w:eastAsia="en-GB"/>
        </w:rPr>
        <w:t>The protein batches for Barnase all gave a single band at approximately 12 kDa for both SDS-PAGE and western blots. This was</w:t>
      </w:r>
      <w:r w:rsidRPr="00B8074B">
        <w:t xml:space="preserve"> in agreement with the calculated molecular weight of 12.51 kDa.</w:t>
      </w:r>
    </w:p>
    <w:p w14:paraId="26D06468" w14:textId="77777777" w:rsidR="00E5589F" w:rsidRPr="00E5589F" w:rsidRDefault="00E5589F" w:rsidP="001E4C6F">
      <w:pPr>
        <w:rPr>
          <w:lang w:bidi="ar-SA"/>
        </w:rPr>
      </w:pPr>
    </w:p>
    <w:p w14:paraId="05DEFCB6" w14:textId="2EB206CE" w:rsidR="0033454E" w:rsidRDefault="0033454E" w:rsidP="001E4C6F">
      <w:pPr>
        <w:pStyle w:val="FSBullet1"/>
      </w:pPr>
      <w:r>
        <w:rPr>
          <w:lang w:eastAsia="en-GB"/>
        </w:rPr>
        <w:t>The protein batches for Barstar all gave an intense band at approximately 9-10</w:t>
      </w:r>
      <w:r w:rsidRPr="00B8074B">
        <w:rPr>
          <w:lang w:eastAsia="en-GB"/>
        </w:rPr>
        <w:t xml:space="preserve"> kDa for both SDS-PAGE and western blots. This was</w:t>
      </w:r>
      <w:r w:rsidRPr="00B8074B">
        <w:t xml:space="preserve"> in agreement with the calc</w:t>
      </w:r>
      <w:r>
        <w:t>ulated molecular weight of 10.34</w:t>
      </w:r>
      <w:r w:rsidRPr="00B8074B">
        <w:t xml:space="preserve"> kDa.</w:t>
      </w:r>
      <w:r>
        <w:t xml:space="preserve"> A less intense band at approximately 20 kDa is considered to be a dimer.</w:t>
      </w:r>
    </w:p>
    <w:p w14:paraId="7EBBEBFE" w14:textId="77777777" w:rsidR="00E5589F" w:rsidRPr="00E5589F" w:rsidRDefault="00E5589F" w:rsidP="001E4C6F">
      <w:pPr>
        <w:rPr>
          <w:lang w:bidi="ar-SA"/>
        </w:rPr>
      </w:pPr>
    </w:p>
    <w:p w14:paraId="56917F26" w14:textId="2DA57E72" w:rsidR="0033454E" w:rsidRDefault="0033454E" w:rsidP="001E4C6F">
      <w:pPr>
        <w:pStyle w:val="FSBullet1"/>
        <w:rPr>
          <w:lang w:eastAsia="en-GB"/>
        </w:rPr>
      </w:pPr>
      <w:r w:rsidRPr="00B8074B">
        <w:rPr>
          <w:lang w:eastAsia="en-GB"/>
        </w:rPr>
        <w:t xml:space="preserve">No glycosylation signal was </w:t>
      </w:r>
      <w:r w:rsidRPr="00EF53CE">
        <w:rPr>
          <w:lang w:eastAsia="en-GB"/>
        </w:rPr>
        <w:t xml:space="preserve">observed </w:t>
      </w:r>
      <w:r>
        <w:rPr>
          <w:lang w:eastAsia="en-GB"/>
        </w:rPr>
        <w:t xml:space="preserve">for either </w:t>
      </w:r>
      <w:r w:rsidRPr="00EF53CE">
        <w:rPr>
          <w:lang w:eastAsia="en-GB"/>
        </w:rPr>
        <w:t>protein</w:t>
      </w:r>
      <w:r>
        <w:rPr>
          <w:lang w:eastAsia="en-GB"/>
        </w:rPr>
        <w:t>.</w:t>
      </w:r>
    </w:p>
    <w:p w14:paraId="40F0993B" w14:textId="77777777" w:rsidR="00E5589F" w:rsidRPr="00E5589F" w:rsidRDefault="00E5589F" w:rsidP="001E4C6F">
      <w:pPr>
        <w:rPr>
          <w:lang w:eastAsia="en-GB" w:bidi="ar-SA"/>
        </w:rPr>
      </w:pPr>
    </w:p>
    <w:p w14:paraId="1091E9FA" w14:textId="77777777" w:rsidR="00A35DB9" w:rsidRDefault="00A35DB9" w:rsidP="001E4C6F">
      <w:pPr>
        <w:pStyle w:val="FSBullet1"/>
      </w:pPr>
      <w:r>
        <w:br w:type="page"/>
      </w:r>
    </w:p>
    <w:p w14:paraId="26C7B504" w14:textId="4D0D4160" w:rsidR="0033454E" w:rsidRDefault="0033454E" w:rsidP="001E4C6F">
      <w:pPr>
        <w:pStyle w:val="FSBullet1"/>
      </w:pPr>
      <w:r>
        <w:lastRenderedPageBreak/>
        <w:t xml:space="preserve">A 100% coverage of both </w:t>
      </w:r>
      <w:r w:rsidRPr="00B8074B">
        <w:t>protein</w:t>
      </w:r>
      <w:r>
        <w:t>s</w:t>
      </w:r>
      <w:r w:rsidRPr="00B8074B">
        <w:t xml:space="preserve"> was obtained from peptide mapping of the</w:t>
      </w:r>
      <w:r>
        <w:t xml:space="preserve"> digest of each</w:t>
      </w:r>
      <w:r w:rsidRPr="00B8074B">
        <w:t xml:space="preserve"> protein and gave the expected sequence</w:t>
      </w:r>
      <w:r>
        <w:t xml:space="preserve">. </w:t>
      </w:r>
      <w:r w:rsidRPr="00B8074B">
        <w:t xml:space="preserve">N-terminal </w:t>
      </w:r>
      <w:r>
        <w:t xml:space="preserve">sequencing </w:t>
      </w:r>
      <w:r w:rsidRPr="00B8074B">
        <w:t xml:space="preserve">further confirmed the identity </w:t>
      </w:r>
      <w:r>
        <w:t>of each</w:t>
      </w:r>
      <w:r w:rsidRPr="00B8074B">
        <w:t xml:space="preserve"> protein.</w:t>
      </w:r>
      <w:r>
        <w:t xml:space="preserve"> Intact molecular mass determination gave a chemical average mass of 12.51 kDa for Barnase and 10.34 kDa for Barstar.</w:t>
      </w:r>
    </w:p>
    <w:p w14:paraId="5B4F099B" w14:textId="77777777" w:rsidR="00E5589F" w:rsidRPr="00E5589F" w:rsidRDefault="00E5589F" w:rsidP="001E4C6F">
      <w:pPr>
        <w:rPr>
          <w:lang w:bidi="ar-SA"/>
        </w:rPr>
      </w:pPr>
    </w:p>
    <w:p w14:paraId="5678169F" w14:textId="77777777" w:rsidR="0033454E" w:rsidRPr="00B8074B" w:rsidRDefault="0033454E" w:rsidP="001E4C6F">
      <w:pPr>
        <w:pStyle w:val="FSBullet1"/>
      </w:pPr>
      <w:r>
        <w:t>Under the conditions of the various studies used to generate the information, the RNase activity of Barnase was shown to be reduced by 40% in the presence of Barstar. This confirmed the activity of both proteins.</w:t>
      </w:r>
    </w:p>
    <w:p w14:paraId="5EDA2E0E" w14:textId="77777777" w:rsidR="0033454E" w:rsidRPr="00036674" w:rsidRDefault="0033454E" w:rsidP="001E4C6F">
      <w:pPr>
        <w:pStyle w:val="Heading5"/>
      </w:pPr>
      <w:r w:rsidRPr="00036674">
        <w:t>Conclusion</w:t>
      </w:r>
    </w:p>
    <w:p w14:paraId="0B9406CF" w14:textId="77777777" w:rsidR="0033454E" w:rsidRDefault="0033454E" w:rsidP="0033454E">
      <w:pPr>
        <w:pStyle w:val="BodyText"/>
        <w:spacing w:after="0"/>
        <w:rPr>
          <w:rFonts w:cs="Arial"/>
          <w:color w:val="000000" w:themeColor="text1"/>
          <w:szCs w:val="22"/>
        </w:rPr>
      </w:pPr>
      <w:r w:rsidRPr="0064180B">
        <w:rPr>
          <w:rFonts w:cs="Arial"/>
          <w:color w:val="000000"/>
          <w:szCs w:val="22"/>
          <w:lang w:eastAsia="en-GB" w:bidi="ar-SA"/>
        </w:rPr>
        <w:t>Due to the low levels of Barnase and Barstar in MS11</w:t>
      </w:r>
      <w:r w:rsidRPr="0064180B">
        <w:rPr>
          <w:rFonts w:cs="Arial"/>
          <w:iCs/>
          <w:color w:val="000000"/>
          <w:szCs w:val="22"/>
          <w:lang w:eastAsia="en-GB" w:bidi="ar-SA"/>
        </w:rPr>
        <w:t xml:space="preserve">, purified </w:t>
      </w:r>
      <w:r w:rsidRPr="0064180B">
        <w:rPr>
          <w:rFonts w:cs="Arial"/>
          <w:color w:val="000000"/>
          <w:szCs w:val="22"/>
          <w:lang w:eastAsia="en-GB" w:bidi="ar-SA"/>
        </w:rPr>
        <w:t>proteins of sufficient quantity and quality could not be extracted from the MS11</w:t>
      </w:r>
      <w:r w:rsidRPr="0064180B">
        <w:rPr>
          <w:rFonts w:cs="Arial"/>
          <w:i/>
          <w:iCs/>
          <w:color w:val="000000"/>
          <w:szCs w:val="22"/>
          <w:lang w:eastAsia="en-GB" w:bidi="ar-SA"/>
        </w:rPr>
        <w:t xml:space="preserve"> </w:t>
      </w:r>
      <w:r w:rsidRPr="0064180B">
        <w:rPr>
          <w:rFonts w:cs="Arial"/>
          <w:color w:val="000000"/>
          <w:szCs w:val="22"/>
          <w:lang w:eastAsia="en-GB" w:bidi="ar-SA"/>
        </w:rPr>
        <w:t xml:space="preserve">plant to be able to directly characterise them. </w:t>
      </w:r>
      <w:r w:rsidRPr="0064180B">
        <w:rPr>
          <w:rFonts w:cs="Arial"/>
          <w:color w:val="000000" w:themeColor="text1"/>
          <w:szCs w:val="22"/>
        </w:rPr>
        <w:t>However the weight of evidence, provided by a) translation of the known DNA sequences of the three introduced genes present in MS11, b) the fact that the proteins function as predicted in the plant and c) the detailed characterisation of equivalent microbially-produced proteins, is sufficient to confirm the identity of the proteins expressed in MS11.T</w:t>
      </w:r>
      <w:r w:rsidRPr="0064180B">
        <w:t xml:space="preserve">he </w:t>
      </w:r>
      <w:r w:rsidRPr="0064180B">
        <w:rPr>
          <w:i/>
        </w:rPr>
        <w:t>E.coli</w:t>
      </w:r>
      <w:r w:rsidRPr="0064180B">
        <w:t>-derived proteins are considered to be suitable surrogates for the MS11-produced proteins in safety assessment studies.</w:t>
      </w:r>
    </w:p>
    <w:p w14:paraId="48D5F390" w14:textId="77777777" w:rsidR="0033454E" w:rsidRDefault="0033454E" w:rsidP="0033454E">
      <w:pPr>
        <w:pStyle w:val="Heading3"/>
      </w:pPr>
      <w:r w:rsidRPr="001B5342">
        <w:t>4.1.5</w:t>
      </w:r>
      <w:r w:rsidRPr="001B5342">
        <w:tab/>
        <w:t>Safety of the introduced proteins</w:t>
      </w:r>
    </w:p>
    <w:p w14:paraId="52EDB646" w14:textId="77777777" w:rsidR="0033454E" w:rsidRPr="004D58DA" w:rsidRDefault="0033454E" w:rsidP="001E4C6F">
      <w:pPr>
        <w:pStyle w:val="Heading4"/>
      </w:pPr>
      <w:r w:rsidRPr="004D58DA">
        <w:t>4.1.5.1</w:t>
      </w:r>
      <w:r w:rsidRPr="004D58DA">
        <w:tab/>
        <w:t>Potential toxicity of PAT, Barnase and Barstar</w:t>
      </w:r>
    </w:p>
    <w:p w14:paraId="526EC7DB" w14:textId="77777777" w:rsidR="0033454E" w:rsidRPr="004D58DA" w:rsidRDefault="0033454E" w:rsidP="0033454E">
      <w:pPr>
        <w:rPr>
          <w:rFonts w:cs="Arial"/>
          <w:color w:val="000000" w:themeColor="text1"/>
          <w:szCs w:val="22"/>
        </w:rPr>
      </w:pPr>
      <w:r w:rsidRPr="004D58DA">
        <w:rPr>
          <w:rFonts w:cs="Arial"/>
          <w:color w:val="000000" w:themeColor="text1"/>
          <w:szCs w:val="22"/>
        </w:rPr>
        <w:t xml:space="preserve">While the vast majority of proteins ingested as part of the diet are not typically associated with toxic effects, a small number may be harmful to health. Therefore, if a GM food differs from its conventional counterpart by the presence of one or more novel proteins, these proteins should be assessed for their potential toxicity. The main purpose of an assessment of potential toxicity is to establish, using a weight of evidence approach, that the novel proteins will behave like any other dietary protein. </w:t>
      </w:r>
    </w:p>
    <w:p w14:paraId="7EF5F066" w14:textId="77777777" w:rsidR="0033454E" w:rsidRPr="004D58DA" w:rsidRDefault="0033454E" w:rsidP="0033454E">
      <w:pPr>
        <w:rPr>
          <w:rFonts w:eastAsia="PMingLiU" w:cs="Arial"/>
          <w:color w:val="000000" w:themeColor="text1"/>
          <w:szCs w:val="22"/>
        </w:rPr>
      </w:pPr>
    </w:p>
    <w:p w14:paraId="3C148313" w14:textId="1341ED31" w:rsidR="0033454E" w:rsidRDefault="0033454E" w:rsidP="0033454E">
      <w:pPr>
        <w:rPr>
          <w:rFonts w:cs="Arial"/>
          <w:color w:val="000000" w:themeColor="text1"/>
          <w:szCs w:val="22"/>
        </w:rPr>
      </w:pPr>
      <w:r w:rsidRPr="004D58DA">
        <w:rPr>
          <w:rFonts w:cs="Arial"/>
          <w:color w:val="000000" w:themeColor="text1"/>
          <w:szCs w:val="22"/>
        </w:rPr>
        <w:t xml:space="preserve">The assessment focuses on: </w:t>
      </w:r>
    </w:p>
    <w:p w14:paraId="633529D2" w14:textId="77777777" w:rsidR="00E5589F" w:rsidRPr="004D58DA" w:rsidRDefault="00E5589F" w:rsidP="0033454E">
      <w:pPr>
        <w:rPr>
          <w:rFonts w:cs="Arial"/>
          <w:color w:val="000000" w:themeColor="text1"/>
          <w:szCs w:val="22"/>
        </w:rPr>
      </w:pPr>
    </w:p>
    <w:p w14:paraId="79F539B4" w14:textId="77777777" w:rsidR="0033454E" w:rsidRPr="004D58DA" w:rsidRDefault="0033454E" w:rsidP="001E4C6F">
      <w:pPr>
        <w:pStyle w:val="FSBullet1"/>
      </w:pPr>
      <w:r w:rsidRPr="004D58DA">
        <w:t xml:space="preserve">whether the novel proteins have a prior history of safe human consumption, or are sufficiently similar to proteins that have been safely consumed in food; </w:t>
      </w:r>
    </w:p>
    <w:p w14:paraId="4FB3AB5F" w14:textId="77777777" w:rsidR="0033454E" w:rsidRPr="004D58DA" w:rsidRDefault="0033454E" w:rsidP="001E4C6F">
      <w:pPr>
        <w:pStyle w:val="FSBullet1"/>
      </w:pPr>
      <w:r w:rsidRPr="004D58DA">
        <w:t xml:space="preserve">amino acid sequence similarity with known protein toxins and anti-nutrients; </w:t>
      </w:r>
    </w:p>
    <w:p w14:paraId="3AC23474" w14:textId="77777777" w:rsidR="0033454E" w:rsidRPr="004D58DA" w:rsidRDefault="0033454E" w:rsidP="001E4C6F">
      <w:pPr>
        <w:pStyle w:val="FSBullet1"/>
      </w:pPr>
      <w:r w:rsidRPr="004D58DA">
        <w:t>structural properties of the novel proteins including whether they are resistant to heat or processing.</w:t>
      </w:r>
    </w:p>
    <w:p w14:paraId="476310EB" w14:textId="77777777" w:rsidR="0033454E" w:rsidRPr="004D58DA" w:rsidRDefault="0033454E" w:rsidP="0033454E">
      <w:pPr>
        <w:rPr>
          <w:rFonts w:cs="Arial"/>
          <w:color w:val="000000" w:themeColor="text1"/>
          <w:szCs w:val="22"/>
        </w:rPr>
      </w:pPr>
    </w:p>
    <w:p w14:paraId="3E8CEBDA" w14:textId="77777777" w:rsidR="0033454E" w:rsidRDefault="0033454E" w:rsidP="0033454E">
      <w:pPr>
        <w:rPr>
          <w:rFonts w:eastAsia="PMingLiU" w:cs="Arial"/>
          <w:color w:val="000000" w:themeColor="text1"/>
          <w:szCs w:val="22"/>
        </w:rPr>
      </w:pPr>
      <w:r w:rsidRPr="004D58DA">
        <w:rPr>
          <w:rFonts w:cs="Arial"/>
          <w:color w:val="000000" w:themeColor="text1"/>
          <w:szCs w:val="22"/>
        </w:rPr>
        <w:t xml:space="preserve">An oral toxicity study is </w:t>
      </w:r>
      <w:r w:rsidRPr="004D58DA">
        <w:rPr>
          <w:rFonts w:eastAsia="PMingLiU" w:cs="Arial"/>
          <w:color w:val="000000" w:themeColor="text1"/>
          <w:szCs w:val="22"/>
        </w:rPr>
        <w:t>only deemed necessary if the results of biochemical, bioinformatic, digestibility or stability studies indicate further investigation of potential toxicity is warranted.</w:t>
      </w:r>
    </w:p>
    <w:p w14:paraId="3F40D3ED" w14:textId="77777777" w:rsidR="0033454E" w:rsidRPr="004D58DA" w:rsidRDefault="0033454E" w:rsidP="0033454E">
      <w:pPr>
        <w:widowControl/>
        <w:rPr>
          <w:rFonts w:cs="Arial"/>
          <w:color w:val="000000" w:themeColor="text1"/>
          <w:szCs w:val="22"/>
        </w:rPr>
      </w:pPr>
    </w:p>
    <w:p w14:paraId="350EFABF" w14:textId="77777777" w:rsidR="0033454E" w:rsidRPr="004E00AB" w:rsidRDefault="0033454E" w:rsidP="0033454E">
      <w:pPr>
        <w:widowControl/>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r w:rsidRPr="004E00AB">
        <w:rPr>
          <w:rFonts w:cs="Arial"/>
          <w:b/>
          <w:color w:val="000000" w:themeColor="text1"/>
          <w:sz w:val="20"/>
          <w:szCs w:val="20"/>
        </w:rPr>
        <w:t>Studies submitted</w:t>
      </w:r>
    </w:p>
    <w:p w14:paraId="1AB64E73"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themeColor="text1"/>
          <w:sz w:val="20"/>
          <w:szCs w:val="20"/>
          <w:lang w:eastAsia="en-GB" w:bidi="ar-SA"/>
        </w:rPr>
      </w:pPr>
    </w:p>
    <w:p w14:paraId="5EEC5C2E" w14:textId="77777777" w:rsidR="0033454E" w:rsidRPr="004E00AB"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themeColor="text1"/>
          <w:sz w:val="20"/>
          <w:szCs w:val="20"/>
          <w:lang w:eastAsia="en-GB" w:bidi="ar-SA"/>
        </w:rPr>
      </w:pPr>
      <w:r>
        <w:rPr>
          <w:rFonts w:cs="Arial"/>
          <w:b/>
          <w:color w:val="000000" w:themeColor="text1"/>
          <w:sz w:val="20"/>
          <w:szCs w:val="20"/>
          <w:lang w:eastAsia="en-GB" w:bidi="ar-SA"/>
        </w:rPr>
        <w:t>Bioinformatics</w:t>
      </w:r>
    </w:p>
    <w:p w14:paraId="2C9938B7"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protein - Amino acid sequence homology search with known allergens and known toxins. Unpublished Bayer Crop Science Report. Document no. M-084359-10-1.</w:t>
      </w:r>
    </w:p>
    <w:p w14:paraId="0D217C75"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Barnase protein - Amino acid sequence homology search with known allergens and known toxins. Unpublished Bayer Crop Science Report. Document no. M-552256-01-1.</w:t>
      </w:r>
    </w:p>
    <w:p w14:paraId="58B03BEA"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Barstar protein - Amino acid sequence homology search with known allergens and known toxins. Unpublished Bayer Crop Science Report. Document no. M-552416-01-1.</w:t>
      </w:r>
    </w:p>
    <w:p w14:paraId="7BF76EAC" w14:textId="77777777" w:rsidR="0033454E" w:rsidRPr="00B5070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b/>
          <w:sz w:val="20"/>
          <w:szCs w:val="20"/>
          <w:lang w:eastAsia="en-GB" w:bidi="ar-SA"/>
        </w:rPr>
      </w:pPr>
      <w:r w:rsidRPr="00B5070E">
        <w:rPr>
          <w:rFonts w:ascii="ArialMT" w:hAnsi="ArialMT" w:cs="ArialMT"/>
          <w:b/>
          <w:sz w:val="20"/>
          <w:szCs w:val="20"/>
          <w:lang w:eastAsia="en-GB" w:bidi="ar-SA"/>
        </w:rPr>
        <w:t>Thermolability</w:t>
      </w:r>
    </w:p>
    <w:p w14:paraId="5E5DC78D"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The effect of temperature on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as assessed by the PAT quantitative activity assay. Unpublished Bayer Crop Science Report. Document no. M-554703-01-1.</w:t>
      </w:r>
    </w:p>
    <w:p w14:paraId="4EBD4AD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lastRenderedPageBreak/>
        <w:t>2014. The effect of temperature on microbially produced Barnase assessed by the barnase quantitative activity assay. Unpublished Bayer Crop Science Report. Document no. M-490632-01-1.</w:t>
      </w:r>
    </w:p>
    <w:p w14:paraId="4EED9D35"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2012. The heat stability of microbially produced Barnase assessed by SDS-PAGE and western blot analyses. Unpublished Bayer Crop Science Report. Document no. M-440532-01-1.</w:t>
      </w:r>
    </w:p>
    <w:p w14:paraId="0CB4D871"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2013. The effect of temperature on microbially produced Barnase assessed by ELISA. Unpublished Bayer Crop Science Report. Document no. M-475710-01-1.</w:t>
      </w:r>
    </w:p>
    <w:p w14:paraId="10E026E5"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The effect of temperature on microbially-produced Barstar assessed by the Barstar quantitative activity assay. Unpublished Bayer Crop Science Report. Document no. M-490635-01-1.</w:t>
      </w:r>
    </w:p>
    <w:p w14:paraId="0240C961"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2012. The heat stability of microbially produced Barstar assessed by SDS-PAGE and western blot analyses. Unpublished Bayer Crop Science Report. Document no. M-433396-01-1.</w:t>
      </w:r>
    </w:p>
    <w:p w14:paraId="10BBE9B3" w14:textId="69D8B6D9" w:rsidR="0033454E" w:rsidRDefault="0033454E" w:rsidP="001E4C6F">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i/>
          <w:color w:val="000000" w:themeColor="text1"/>
          <w:szCs w:val="22"/>
        </w:rPr>
      </w:pPr>
      <w:r>
        <w:rPr>
          <w:rFonts w:ascii="ArialMT" w:hAnsi="ArialMT" w:cs="ArialMT"/>
          <w:sz w:val="20"/>
          <w:szCs w:val="20"/>
          <w:lang w:eastAsia="en-GB" w:bidi="ar-SA"/>
        </w:rPr>
        <w:t>2014. The effect of temperature on microbially produced Barstar assessed by ELISA. Unpublished Bayer Crop Science Report. Document no. M-479248-01-1.</w:t>
      </w:r>
    </w:p>
    <w:p w14:paraId="0C6CE3E0" w14:textId="77777777" w:rsidR="0033454E" w:rsidRPr="007B6F53" w:rsidRDefault="0033454E" w:rsidP="001E4C6F">
      <w:pPr>
        <w:pStyle w:val="Heading5"/>
      </w:pPr>
      <w:r w:rsidRPr="007B6F53">
        <w:t>History of human consumption</w:t>
      </w:r>
    </w:p>
    <w:p w14:paraId="59FFE940" w14:textId="77777777" w:rsidR="0033454E" w:rsidRPr="007B6F53" w:rsidRDefault="0033454E" w:rsidP="0033454E">
      <w:pPr>
        <w:pStyle w:val="BodyText"/>
        <w:rPr>
          <w:rFonts w:cs="Arial"/>
          <w:color w:val="000000" w:themeColor="text1"/>
          <w:szCs w:val="22"/>
        </w:rPr>
      </w:pPr>
      <w:r>
        <w:rPr>
          <w:rFonts w:cs="Arial"/>
          <w:i/>
          <w:color w:val="000000" w:themeColor="text1"/>
          <w:szCs w:val="22"/>
        </w:rPr>
        <w:t>S.</w:t>
      </w:r>
      <w:r w:rsidRPr="007B6F53">
        <w:rPr>
          <w:rFonts w:cs="Arial"/>
          <w:i/>
          <w:color w:val="000000" w:themeColor="text1"/>
          <w:szCs w:val="22"/>
        </w:rPr>
        <w:t xml:space="preserve"> hygroscopicus</w:t>
      </w:r>
      <w:r w:rsidRPr="007B6F53">
        <w:rPr>
          <w:rFonts w:cs="Arial"/>
          <w:color w:val="000000" w:themeColor="text1"/>
          <w:szCs w:val="22"/>
        </w:rPr>
        <w:t xml:space="preserve"> (source of the </w:t>
      </w:r>
      <w:r w:rsidRPr="007B6F53">
        <w:rPr>
          <w:rFonts w:cs="Arial"/>
          <w:i/>
          <w:color w:val="000000" w:themeColor="text1"/>
          <w:szCs w:val="22"/>
        </w:rPr>
        <w:t>bar</w:t>
      </w:r>
      <w:r w:rsidRPr="007B6F53">
        <w:rPr>
          <w:rFonts w:cs="Arial"/>
          <w:color w:val="000000" w:themeColor="text1"/>
          <w:szCs w:val="22"/>
        </w:rPr>
        <w:t xml:space="preserve"> gene) and </w:t>
      </w:r>
      <w:r w:rsidRPr="007B6F53">
        <w:rPr>
          <w:rFonts w:cs="Arial"/>
          <w:i/>
          <w:color w:val="000000" w:themeColor="text1"/>
          <w:szCs w:val="22"/>
        </w:rPr>
        <w:t>S. viridochromogenes</w:t>
      </w:r>
      <w:r w:rsidRPr="007B6F53">
        <w:rPr>
          <w:rFonts w:cs="Arial"/>
          <w:color w:val="000000" w:themeColor="text1"/>
          <w:szCs w:val="22"/>
        </w:rPr>
        <w:t xml:space="preserve"> (source of the </w:t>
      </w:r>
      <w:r w:rsidRPr="007B6F53">
        <w:rPr>
          <w:rFonts w:cs="Arial"/>
          <w:i/>
          <w:color w:val="000000" w:themeColor="text1"/>
          <w:szCs w:val="22"/>
        </w:rPr>
        <w:t>pat</w:t>
      </w:r>
      <w:r w:rsidRPr="007B6F53">
        <w:rPr>
          <w:rFonts w:cs="Arial"/>
          <w:color w:val="000000" w:themeColor="text1"/>
          <w:szCs w:val="22"/>
        </w:rPr>
        <w:t xml:space="preserve"> gene) are common soil bacteria, therefore humans have a long history of exposure to the PAT protein through the consumption of plant roots and vegetables.</w:t>
      </w:r>
      <w:r w:rsidRPr="007B6F53">
        <w:rPr>
          <w:rFonts w:cs="Arial"/>
          <w:i/>
          <w:color w:val="000000" w:themeColor="text1"/>
          <w:szCs w:val="22"/>
        </w:rPr>
        <w:t xml:space="preserve"> </w:t>
      </w:r>
      <w:r w:rsidRPr="007B6F53">
        <w:rPr>
          <w:rFonts w:cs="Arial"/>
          <w:color w:val="000000" w:themeColor="text1"/>
          <w:szCs w:val="22"/>
        </w:rPr>
        <w:t xml:space="preserve">In addition, since 1995, humans have also been directly exposed to the PAT protein through the consumption of a variety of foods derived from approved GM soybean, cotton, corn and canola crops tolerant to glufosinate ammonium. There is no evidence of toxicity associated with the PAT protein as a result of dietary exposure from any of these sources </w:t>
      </w:r>
      <w:r>
        <w:rPr>
          <w:rFonts w:cs="Arial"/>
          <w:noProof/>
          <w:color w:val="000000" w:themeColor="text1"/>
          <w:szCs w:val="22"/>
          <w:lang w:eastAsia="en-GB" w:bidi="ar-SA"/>
        </w:rPr>
        <w:t>(Hérouet et al. 2005)</w:t>
      </w:r>
      <w:r w:rsidRPr="007B6F53">
        <w:rPr>
          <w:rFonts w:cs="Arial"/>
          <w:color w:val="000000" w:themeColor="text1"/>
          <w:szCs w:val="22"/>
        </w:rPr>
        <w:t xml:space="preserve">. </w:t>
      </w:r>
    </w:p>
    <w:p w14:paraId="3A6E39CF" w14:textId="32803D07" w:rsidR="0033454E" w:rsidRPr="007B6F53" w:rsidRDefault="0033454E" w:rsidP="001E4C6F">
      <w:pPr>
        <w:pStyle w:val="BodyText"/>
        <w:rPr>
          <w:rFonts w:cs="Arial"/>
          <w:i/>
          <w:color w:val="000000" w:themeColor="text1"/>
          <w:szCs w:val="22"/>
        </w:rPr>
      </w:pPr>
      <w:r w:rsidRPr="007B6F53">
        <w:rPr>
          <w:rFonts w:cs="Arial"/>
          <w:color w:val="000000" w:themeColor="text1"/>
          <w:szCs w:val="22"/>
        </w:rPr>
        <w:t xml:space="preserve">Both Barnase and Barstar are produced by </w:t>
      </w:r>
      <w:r w:rsidRPr="007B6F53">
        <w:rPr>
          <w:rFonts w:cs="Arial"/>
          <w:i/>
          <w:color w:val="000000" w:themeColor="text1"/>
          <w:szCs w:val="22"/>
        </w:rPr>
        <w:t>B. amyloliquefaciens</w:t>
      </w:r>
      <w:r w:rsidRPr="007B6F53">
        <w:rPr>
          <w:rFonts w:cs="Arial"/>
          <w:color w:val="000000" w:themeColor="text1"/>
          <w:szCs w:val="22"/>
        </w:rPr>
        <w:t xml:space="preserve"> which is widespread in the environment (</w:t>
      </w:r>
      <w:r w:rsidRPr="004F4FDA">
        <w:rPr>
          <w:rFonts w:cs="Arial"/>
          <w:color w:val="000000" w:themeColor="text1"/>
          <w:szCs w:val="22"/>
        </w:rPr>
        <w:t>see Section 2.2.1) and homol</w:t>
      </w:r>
      <w:r w:rsidRPr="007B6F53">
        <w:rPr>
          <w:rFonts w:cs="Arial"/>
          <w:color w:val="000000" w:themeColor="text1"/>
          <w:szCs w:val="22"/>
        </w:rPr>
        <w:t>ogues of the two proteins occur in a range of other bacterial species. Hence humans have had an indirect safe history of exposure to the two proteins. While both proteins are also expressed in approved GM canola lines that have been used for food production for over 15 years, it is noted that neither protein has been expressed in edible parts of these canola plants.</w:t>
      </w:r>
    </w:p>
    <w:p w14:paraId="31AC83EE" w14:textId="77777777" w:rsidR="0033454E" w:rsidRPr="007B6F53" w:rsidRDefault="0033454E" w:rsidP="001E4C6F">
      <w:pPr>
        <w:pStyle w:val="Heading5"/>
      </w:pPr>
      <w:r w:rsidRPr="007B6F53">
        <w:t>Amino acid sequence similarity to known protein toxins</w:t>
      </w:r>
    </w:p>
    <w:p w14:paraId="47F33C3C" w14:textId="77777777" w:rsidR="0033454E" w:rsidRPr="007B6F53" w:rsidRDefault="0033454E" w:rsidP="0033454E">
      <w:pPr>
        <w:tabs>
          <w:tab w:val="left" w:pos="851"/>
        </w:tabs>
        <w:rPr>
          <w:rFonts w:cs="Arial"/>
          <w:color w:val="000000" w:themeColor="text1"/>
          <w:szCs w:val="22"/>
        </w:rPr>
      </w:pPr>
      <w:r w:rsidRPr="007B6F53">
        <w:rPr>
          <w:rFonts w:cs="Arial"/>
          <w:color w:val="000000" w:themeColor="text1"/>
          <w:szCs w:val="22"/>
        </w:rPr>
        <w:t xml:space="preserve">Bioinformatic analyses are useful for assessing whether introduced proteins share any amino acid sequence similarity with known protein toxins. </w:t>
      </w:r>
    </w:p>
    <w:p w14:paraId="595A9433" w14:textId="77777777" w:rsidR="0033454E" w:rsidRPr="00F70B3D" w:rsidRDefault="0033454E">
      <w:pPr>
        <w:widowControl/>
        <w:rPr>
          <w:rFonts w:cs="Arial"/>
          <w:color w:val="000000" w:themeColor="text1"/>
          <w:szCs w:val="22"/>
        </w:rPr>
      </w:pPr>
    </w:p>
    <w:p w14:paraId="02F45088" w14:textId="77777777" w:rsidR="0033454E" w:rsidRPr="00C70C7A" w:rsidRDefault="0033454E" w:rsidP="0033454E">
      <w:pPr>
        <w:widowControl/>
        <w:autoSpaceDE w:val="0"/>
        <w:autoSpaceDN w:val="0"/>
        <w:adjustRightInd w:val="0"/>
        <w:rPr>
          <w:rFonts w:cs="Arial"/>
          <w:color w:val="000000" w:themeColor="text1"/>
          <w:szCs w:val="22"/>
          <w:lang w:eastAsia="en-GB" w:bidi="ar-SA"/>
        </w:rPr>
      </w:pPr>
      <w:r w:rsidRPr="00F70B3D">
        <w:rPr>
          <w:rFonts w:cs="Arial"/>
          <w:color w:val="000000" w:themeColor="text1"/>
          <w:szCs w:val="22"/>
        </w:rPr>
        <w:t>Similarity searches were done for the PAT</w:t>
      </w:r>
      <w:r w:rsidRPr="00BA6438">
        <w:rPr>
          <w:rFonts w:cs="Arial"/>
          <w:color w:val="000000" w:themeColor="text1"/>
          <w:szCs w:val="22"/>
        </w:rPr>
        <w:t xml:space="preserve">, Barnase and Barstar proteins using the Fast Alignment Search Tool – </w:t>
      </w:r>
      <w:r w:rsidRPr="00A2689C">
        <w:rPr>
          <w:rFonts w:cs="Arial"/>
          <w:color w:val="000000" w:themeColor="text1"/>
          <w:szCs w:val="22"/>
        </w:rPr>
        <w:t>All (FASTA) algorithm</w:t>
      </w:r>
      <w:r w:rsidRPr="00BA6438">
        <w:rPr>
          <w:rFonts w:cs="Arial"/>
          <w:color w:val="000000" w:themeColor="text1"/>
          <w:szCs w:val="22"/>
        </w:rPr>
        <w:t xml:space="preserve"> </w:t>
      </w:r>
      <w:r>
        <w:rPr>
          <w:rFonts w:cs="Arial"/>
          <w:noProof/>
          <w:color w:val="000000" w:themeColor="text1"/>
          <w:szCs w:val="22"/>
        </w:rPr>
        <w:t>(Pearson and Lipman 1988)</w:t>
      </w:r>
      <w:r w:rsidRPr="00BA6438">
        <w:rPr>
          <w:rFonts w:cs="Arial"/>
          <w:color w:val="000000" w:themeColor="text1"/>
          <w:szCs w:val="22"/>
        </w:rPr>
        <w:t xml:space="preserve"> version 35.04 and BLOSUM50</w:t>
      </w:r>
      <w:r w:rsidRPr="00BA6438">
        <w:rPr>
          <w:rStyle w:val="FootnoteReference"/>
          <w:rFonts w:cs="Arial"/>
          <w:color w:val="000000" w:themeColor="text1"/>
          <w:szCs w:val="22"/>
        </w:rPr>
        <w:footnoteReference w:id="15"/>
      </w:r>
      <w:r w:rsidRPr="00BA6438">
        <w:rPr>
          <w:rFonts w:cs="Arial"/>
          <w:color w:val="000000" w:themeColor="text1"/>
          <w:szCs w:val="22"/>
        </w:rPr>
        <w:t xml:space="preserve"> scoring matrix against known protein sequences present in a) a non-</w:t>
      </w:r>
      <w:r w:rsidRPr="00F70B3D">
        <w:rPr>
          <w:rFonts w:cs="Arial"/>
          <w:color w:val="000000" w:themeColor="text1"/>
          <w:szCs w:val="22"/>
        </w:rPr>
        <w:t xml:space="preserve">redundant </w:t>
      </w:r>
      <w:r>
        <w:rPr>
          <w:rFonts w:cs="Arial"/>
          <w:color w:val="000000" w:themeColor="text1"/>
          <w:szCs w:val="22"/>
        </w:rPr>
        <w:t xml:space="preserve">general </w:t>
      </w:r>
      <w:r w:rsidRPr="00F70B3D">
        <w:rPr>
          <w:rFonts w:cs="Arial"/>
          <w:color w:val="000000" w:themeColor="text1"/>
          <w:szCs w:val="22"/>
        </w:rPr>
        <w:t>protein sequence database</w:t>
      </w:r>
      <w:r>
        <w:rPr>
          <w:rFonts w:cs="Arial"/>
          <w:color w:val="000000" w:themeColor="text1"/>
          <w:szCs w:val="22"/>
        </w:rPr>
        <w:t>,</w:t>
      </w:r>
      <w:r w:rsidRPr="00F70B3D">
        <w:rPr>
          <w:rFonts w:cs="Arial"/>
          <w:color w:val="000000" w:themeColor="text1"/>
          <w:szCs w:val="22"/>
        </w:rPr>
        <w:t xml:space="preserve"> </w:t>
      </w:r>
      <w:r>
        <w:rPr>
          <w:rFonts w:cs="Arial"/>
          <w:color w:val="000000" w:themeColor="text1"/>
          <w:szCs w:val="22"/>
        </w:rPr>
        <w:t xml:space="preserve">containing over 81 million sequences, </w:t>
      </w:r>
      <w:r w:rsidRPr="00F70B3D">
        <w:rPr>
          <w:rFonts w:cs="Arial"/>
          <w:color w:val="000000" w:themeColor="text1"/>
          <w:szCs w:val="22"/>
        </w:rPr>
        <w:t xml:space="preserve">compiled from several publicly available databases by the </w:t>
      </w:r>
      <w:r w:rsidRPr="00624B64">
        <w:rPr>
          <w:color w:val="000000" w:themeColor="text1"/>
        </w:rPr>
        <w:t>NCBI</w:t>
      </w:r>
      <w:r>
        <w:rPr>
          <w:color w:val="000000" w:themeColor="text1"/>
        </w:rPr>
        <w:t xml:space="preserve"> and b) a Bayer toxin-specific database (Toxin_BCS_prot_16_1) built from the NCBI database, but with additions from the </w:t>
      </w:r>
      <w:r w:rsidRPr="00C70C7A">
        <w:rPr>
          <w:color w:val="000000" w:themeColor="text1"/>
          <w:szCs w:val="22"/>
        </w:rPr>
        <w:t>UniProt animal toxin annotation program, and Bt sequences belonging to the parasporin family, then filtered using certain key words and removal of redundancies; this contained 24,496 sequences.</w:t>
      </w:r>
      <w:r w:rsidRPr="00C70C7A">
        <w:rPr>
          <w:rFonts w:cs="Arial"/>
          <w:color w:val="000000" w:themeColor="text1"/>
          <w:szCs w:val="22"/>
        </w:rPr>
        <w:t xml:space="preserve"> </w:t>
      </w:r>
    </w:p>
    <w:p w14:paraId="71C22960" w14:textId="77777777" w:rsidR="0033454E" w:rsidRPr="00C70C7A" w:rsidRDefault="0033454E" w:rsidP="0033454E">
      <w:pPr>
        <w:widowControl/>
        <w:autoSpaceDE w:val="0"/>
        <w:autoSpaceDN w:val="0"/>
        <w:adjustRightInd w:val="0"/>
        <w:rPr>
          <w:rFonts w:cs="Arial"/>
          <w:color w:val="000000" w:themeColor="text1"/>
          <w:szCs w:val="22"/>
          <w:lang w:eastAsia="en-GB" w:bidi="ar-SA"/>
        </w:rPr>
      </w:pPr>
    </w:p>
    <w:p w14:paraId="40BA3C04" w14:textId="3E869840" w:rsidR="00A35DB9" w:rsidRDefault="0033454E" w:rsidP="0033454E">
      <w:pPr>
        <w:widowControl/>
        <w:autoSpaceDE w:val="0"/>
        <w:autoSpaceDN w:val="0"/>
        <w:adjustRightInd w:val="0"/>
        <w:rPr>
          <w:rFonts w:eastAsiaTheme="minorHAnsi" w:cs="Arial"/>
          <w:color w:val="000000" w:themeColor="text1"/>
          <w:szCs w:val="22"/>
        </w:rPr>
      </w:pPr>
      <w:r w:rsidRPr="00C70C7A">
        <w:rPr>
          <w:rFonts w:cs="Arial"/>
          <w:color w:val="000000" w:themeColor="text1"/>
          <w:szCs w:val="22"/>
        </w:rPr>
        <w:t>Comparisons between highly ho</w:t>
      </w:r>
      <w:r>
        <w:rPr>
          <w:rFonts w:cs="Arial"/>
          <w:color w:val="000000" w:themeColor="text1"/>
          <w:szCs w:val="22"/>
        </w:rPr>
        <w:t xml:space="preserve">mologous proteins yield </w:t>
      </w:r>
      <w:hyperlink r:id="rId30" w:history="1">
        <w:r w:rsidRPr="001D5399">
          <w:rPr>
            <w:rStyle w:val="Hyperlink"/>
            <w:rFonts w:cs="Arial"/>
            <w:i/>
            <w:szCs w:val="22"/>
          </w:rPr>
          <w:t>E</w:t>
        </w:r>
        <w:r w:rsidRPr="001D5399">
          <w:rPr>
            <w:rStyle w:val="Hyperlink"/>
            <w:rFonts w:cs="Arial"/>
            <w:szCs w:val="22"/>
          </w:rPr>
          <w:t>-values</w:t>
        </w:r>
      </w:hyperlink>
      <w:r>
        <w:rPr>
          <w:rStyle w:val="FootnoteReference"/>
          <w:rFonts w:cs="Arial"/>
          <w:i/>
          <w:color w:val="000000" w:themeColor="text1"/>
          <w:szCs w:val="22"/>
        </w:rPr>
        <w:footnoteReference w:id="16"/>
      </w:r>
      <w:r w:rsidRPr="00C70C7A">
        <w:rPr>
          <w:rFonts w:cs="Arial"/>
          <w:color w:val="000000" w:themeColor="text1"/>
          <w:szCs w:val="22"/>
        </w:rPr>
        <w:t xml:space="preserve"> approaching zero, indicating the very low probability that such matches would occur by chance. A larger </w:t>
      </w:r>
      <w:r w:rsidRPr="001D5399">
        <w:rPr>
          <w:rFonts w:cs="Arial"/>
          <w:i/>
          <w:color w:val="000000" w:themeColor="text1"/>
          <w:szCs w:val="22"/>
        </w:rPr>
        <w:t>E</w:t>
      </w:r>
      <w:r>
        <w:rPr>
          <w:rFonts w:cs="Arial"/>
          <w:color w:val="000000" w:themeColor="text1"/>
          <w:szCs w:val="22"/>
        </w:rPr>
        <w:t>-value</w:t>
      </w:r>
      <w:r w:rsidRPr="00C70C7A">
        <w:rPr>
          <w:rFonts w:cs="Arial"/>
          <w:color w:val="000000" w:themeColor="text1"/>
          <w:szCs w:val="22"/>
        </w:rPr>
        <w:t xml:space="preserve"> indicates a lower degree of similarity. </w:t>
      </w:r>
      <w:r w:rsidRPr="00C70C7A">
        <w:rPr>
          <w:rFonts w:eastAsiaTheme="minorHAnsi" w:cs="Arial"/>
          <w:color w:val="000000" w:themeColor="text1"/>
          <w:szCs w:val="22"/>
        </w:rPr>
        <w:t xml:space="preserve">Typically, alignments between two sequences will need to have an </w:t>
      </w:r>
      <w:r w:rsidRPr="00C70C7A">
        <w:rPr>
          <w:rFonts w:eastAsiaTheme="minorHAnsi" w:cs="Arial"/>
          <w:i/>
          <w:iCs/>
          <w:color w:val="000000" w:themeColor="text1"/>
          <w:szCs w:val="22"/>
        </w:rPr>
        <w:t>E</w:t>
      </w:r>
      <w:r>
        <w:rPr>
          <w:rFonts w:eastAsiaTheme="minorHAnsi" w:cs="Arial"/>
          <w:color w:val="000000" w:themeColor="text1"/>
          <w:szCs w:val="22"/>
        </w:rPr>
        <w:t>-value</w:t>
      </w:r>
      <w:r w:rsidRPr="00C70C7A">
        <w:rPr>
          <w:rFonts w:eastAsiaTheme="minorHAnsi" w:cs="Arial"/>
          <w:color w:val="000000" w:themeColor="text1"/>
          <w:szCs w:val="22"/>
        </w:rPr>
        <w:t xml:space="preserve"> of 1e</w:t>
      </w:r>
      <w:r w:rsidRPr="00C70C7A">
        <w:rPr>
          <w:rFonts w:eastAsiaTheme="minorHAnsi" w:cs="Arial"/>
          <w:color w:val="000000" w:themeColor="text1"/>
          <w:szCs w:val="22"/>
          <w:vertAlign w:val="superscript"/>
        </w:rPr>
        <w:t>-5</w:t>
      </w:r>
      <w:r w:rsidRPr="00C70C7A">
        <w:rPr>
          <w:rFonts w:eastAsiaTheme="minorHAnsi" w:cs="Arial"/>
          <w:color w:val="000000" w:themeColor="text1"/>
          <w:szCs w:val="22"/>
        </w:rPr>
        <w:t xml:space="preserve"> (1×10</w:t>
      </w:r>
      <w:r w:rsidRPr="00C70C7A">
        <w:rPr>
          <w:rFonts w:eastAsiaTheme="minorHAnsi" w:cs="Arial"/>
          <w:color w:val="000000" w:themeColor="text1"/>
          <w:szCs w:val="22"/>
          <w:vertAlign w:val="superscript"/>
        </w:rPr>
        <w:t>-5</w:t>
      </w:r>
      <w:r w:rsidRPr="00C70C7A">
        <w:rPr>
          <w:rFonts w:eastAsiaTheme="minorHAnsi" w:cs="Arial"/>
          <w:color w:val="000000" w:themeColor="text1"/>
          <w:szCs w:val="22"/>
        </w:rPr>
        <w:t>) or smaller to be considered to have significant homology.</w:t>
      </w:r>
      <w:r>
        <w:rPr>
          <w:rFonts w:eastAsiaTheme="minorHAnsi" w:cs="Arial"/>
          <w:color w:val="000000" w:themeColor="text1"/>
          <w:szCs w:val="22"/>
        </w:rPr>
        <w:t xml:space="preserve"> However, any conclusion about the significance of a homology needs to be tempered by an </w:t>
      </w:r>
      <w:r w:rsidRPr="00C70C7A">
        <w:rPr>
          <w:rFonts w:eastAsiaTheme="minorHAnsi" w:cs="Arial"/>
          <w:color w:val="000000" w:themeColor="text1"/>
          <w:szCs w:val="22"/>
        </w:rPr>
        <w:t>understanding of its biological relevance.</w:t>
      </w:r>
      <w:r w:rsidR="00A35DB9">
        <w:rPr>
          <w:rFonts w:eastAsiaTheme="minorHAnsi" w:cs="Arial"/>
          <w:color w:val="000000" w:themeColor="text1"/>
          <w:szCs w:val="22"/>
        </w:rPr>
        <w:br w:type="page"/>
      </w:r>
    </w:p>
    <w:p w14:paraId="0360E89C" w14:textId="26A29408" w:rsidR="0033454E" w:rsidRPr="006C7C0F" w:rsidRDefault="0033454E" w:rsidP="0033454E">
      <w:pPr>
        <w:widowControl/>
        <w:autoSpaceDE w:val="0"/>
        <w:autoSpaceDN w:val="0"/>
        <w:adjustRightInd w:val="0"/>
        <w:rPr>
          <w:rFonts w:cs="Arial"/>
          <w:color w:val="000000" w:themeColor="text1"/>
          <w:szCs w:val="22"/>
          <w:lang w:eastAsia="en-GB" w:bidi="ar-SA"/>
        </w:rPr>
      </w:pPr>
      <w:r w:rsidRPr="00C70C7A">
        <w:rPr>
          <w:rFonts w:cs="Arial"/>
          <w:szCs w:val="22"/>
          <w:lang w:eastAsia="en-GB" w:bidi="ar-SA"/>
        </w:rPr>
        <w:lastRenderedPageBreak/>
        <w:t>The results of the overall homology search</w:t>
      </w:r>
      <w:r>
        <w:rPr>
          <w:rFonts w:cs="Arial"/>
          <w:szCs w:val="22"/>
          <w:lang w:eastAsia="en-GB" w:bidi="ar-SA"/>
        </w:rPr>
        <w:t>es</w:t>
      </w:r>
      <w:r w:rsidRPr="00C70C7A">
        <w:rPr>
          <w:rFonts w:cs="Arial"/>
          <w:szCs w:val="22"/>
          <w:lang w:eastAsia="en-GB" w:bidi="ar-SA"/>
        </w:rPr>
        <w:t xml:space="preserve"> with the general protein database showed there were matches</w:t>
      </w:r>
      <w:r w:rsidR="009F70F2">
        <w:rPr>
          <w:rFonts w:cs="Arial"/>
          <w:szCs w:val="22"/>
          <w:lang w:eastAsia="en-GB" w:bidi="ar-SA"/>
        </w:rPr>
        <w:t xml:space="preserve"> for all three proteins. </w:t>
      </w:r>
      <w:r w:rsidR="00F75B45">
        <w:rPr>
          <w:rFonts w:cs="Arial"/>
          <w:szCs w:val="22"/>
          <w:lang w:eastAsia="en-GB" w:bidi="ar-SA"/>
        </w:rPr>
        <w:t>F</w:t>
      </w:r>
      <w:r>
        <w:rPr>
          <w:rFonts w:cs="Arial"/>
          <w:szCs w:val="22"/>
          <w:lang w:eastAsia="en-GB" w:bidi="ar-SA"/>
        </w:rPr>
        <w:t>or PAT</w:t>
      </w:r>
      <w:r w:rsidR="00F75B45">
        <w:rPr>
          <w:rFonts w:cs="Arial"/>
          <w:szCs w:val="22"/>
          <w:lang w:eastAsia="en-GB" w:bidi="ar-SA"/>
        </w:rPr>
        <w:t>,</w:t>
      </w:r>
      <w:r>
        <w:rPr>
          <w:rFonts w:cs="Arial"/>
          <w:szCs w:val="22"/>
          <w:lang w:eastAsia="en-GB" w:bidi="ar-SA"/>
        </w:rPr>
        <w:t xml:space="preserve"> these matches were with acetyltransferase</w:t>
      </w:r>
      <w:r w:rsidRPr="00C70C7A">
        <w:rPr>
          <w:rFonts w:cs="Arial"/>
          <w:szCs w:val="22"/>
          <w:lang w:eastAsia="en-GB" w:bidi="ar-SA"/>
        </w:rPr>
        <w:t xml:space="preserve"> </w:t>
      </w:r>
      <w:r>
        <w:rPr>
          <w:rFonts w:cs="Arial"/>
          <w:szCs w:val="22"/>
          <w:lang w:eastAsia="en-GB" w:bidi="ar-SA"/>
        </w:rPr>
        <w:t>sequences from various origins</w:t>
      </w:r>
      <w:r w:rsidR="00F75B45">
        <w:rPr>
          <w:rFonts w:cs="Arial"/>
          <w:szCs w:val="22"/>
          <w:lang w:eastAsia="en-GB" w:bidi="ar-SA"/>
        </w:rPr>
        <w:t>.</w:t>
      </w:r>
      <w:r w:rsidR="009F70F2">
        <w:rPr>
          <w:rFonts w:cs="Arial"/>
          <w:szCs w:val="22"/>
          <w:lang w:eastAsia="en-GB" w:bidi="ar-SA"/>
        </w:rPr>
        <w:t xml:space="preserve"> </w:t>
      </w:r>
      <w:r w:rsidR="00F75B45">
        <w:rPr>
          <w:rFonts w:cs="Arial"/>
          <w:szCs w:val="22"/>
          <w:lang w:eastAsia="en-GB" w:bidi="ar-SA"/>
        </w:rPr>
        <w:t>F</w:t>
      </w:r>
      <w:r>
        <w:rPr>
          <w:rFonts w:cs="Arial"/>
          <w:szCs w:val="22"/>
          <w:lang w:eastAsia="en-GB" w:bidi="ar-SA"/>
        </w:rPr>
        <w:t xml:space="preserve">or Barnase and Barstar, the matches were with proteins from their respective ribonuclease families. </w:t>
      </w:r>
      <w:r w:rsidRPr="00C70C7A">
        <w:rPr>
          <w:rFonts w:cs="Arial"/>
          <w:szCs w:val="22"/>
          <w:lang w:eastAsia="en-GB" w:bidi="ar-SA"/>
        </w:rPr>
        <w:t xml:space="preserve">No biologically relevant identities were found </w:t>
      </w:r>
      <w:r>
        <w:rPr>
          <w:rFonts w:cs="Arial"/>
          <w:szCs w:val="22"/>
          <w:lang w:eastAsia="en-GB" w:bidi="ar-SA"/>
        </w:rPr>
        <w:t xml:space="preserve">for any of the </w:t>
      </w:r>
      <w:r w:rsidRPr="006C7C0F">
        <w:rPr>
          <w:rFonts w:cs="Arial"/>
          <w:color w:val="000000" w:themeColor="text1"/>
          <w:szCs w:val="22"/>
          <w:lang w:eastAsia="en-GB" w:bidi="ar-SA"/>
        </w:rPr>
        <w:t>three proteins with any toxic proteins from the Bayer toxin database.</w:t>
      </w:r>
    </w:p>
    <w:p w14:paraId="1DF99EAB" w14:textId="77777777" w:rsidR="0033454E" w:rsidRPr="006C7C0F" w:rsidRDefault="0033454E" w:rsidP="001E4C6F">
      <w:pPr>
        <w:pStyle w:val="Heading5"/>
      </w:pPr>
      <w:r w:rsidRPr="006C7C0F">
        <w:t>Heat stability</w:t>
      </w:r>
    </w:p>
    <w:p w14:paraId="5D2772B3" w14:textId="77777777" w:rsidR="0033454E" w:rsidRPr="006C7C0F" w:rsidRDefault="0033454E" w:rsidP="0033454E">
      <w:pPr>
        <w:rPr>
          <w:rFonts w:cs="Arial"/>
          <w:color w:val="000000" w:themeColor="text1"/>
          <w:szCs w:val="22"/>
        </w:rPr>
      </w:pPr>
      <w:r w:rsidRPr="006C7C0F">
        <w:rPr>
          <w:rFonts w:cs="Arial"/>
          <w:color w:val="000000" w:themeColor="text1"/>
          <w:szCs w:val="22"/>
        </w:rPr>
        <w:t xml:space="preserve">The thermolability of a protein provides an indication of the stability of the protein under cooking/processing conditions. </w:t>
      </w:r>
    </w:p>
    <w:p w14:paraId="31472606" w14:textId="77777777" w:rsidR="0033454E" w:rsidRPr="00746F45" w:rsidRDefault="0033454E">
      <w:pPr>
        <w:widowControl/>
        <w:rPr>
          <w:rFonts w:cs="Arial"/>
          <w:color w:val="000000" w:themeColor="text1"/>
          <w:szCs w:val="22"/>
        </w:rPr>
      </w:pPr>
      <w:r w:rsidRPr="00746F45">
        <w:rPr>
          <w:rFonts w:cs="Arial"/>
          <w:color w:val="000000" w:themeColor="text1"/>
          <w:szCs w:val="22"/>
        </w:rPr>
        <w:t xml:space="preserve">For all three proteins, heat stability was determined by measuring enzymatic activity (as described </w:t>
      </w:r>
      <w:r w:rsidRPr="004F4FDA">
        <w:rPr>
          <w:rFonts w:cs="Arial"/>
          <w:color w:val="000000" w:themeColor="text1"/>
          <w:szCs w:val="22"/>
        </w:rPr>
        <w:t>in Sections 4.1.4.1 and 4.1.4.2) after each protein</w:t>
      </w:r>
      <w:r w:rsidRPr="00746F45">
        <w:rPr>
          <w:rFonts w:cs="Arial"/>
          <w:color w:val="000000" w:themeColor="text1"/>
          <w:szCs w:val="22"/>
        </w:rPr>
        <w:t xml:space="preserve"> was pre-incubated at 4</w:t>
      </w:r>
      <w:r w:rsidRPr="00746F45">
        <w:rPr>
          <w:rFonts w:cs="Arial"/>
          <w:color w:val="000000" w:themeColor="text1"/>
          <w:szCs w:val="22"/>
          <w:vertAlign w:val="superscript"/>
        </w:rPr>
        <w:t>o</w:t>
      </w:r>
      <w:r w:rsidRPr="00746F45">
        <w:rPr>
          <w:rFonts w:cs="Arial"/>
          <w:color w:val="000000" w:themeColor="text1"/>
          <w:szCs w:val="22"/>
        </w:rPr>
        <w:t xml:space="preserve"> C, </w:t>
      </w:r>
      <w:r>
        <w:rPr>
          <w:rFonts w:cs="Arial"/>
          <w:color w:val="000000" w:themeColor="text1"/>
          <w:szCs w:val="22"/>
        </w:rPr>
        <w:t xml:space="preserve">    </w:t>
      </w:r>
      <w:r w:rsidRPr="00746F45">
        <w:rPr>
          <w:rFonts w:cs="Arial"/>
          <w:color w:val="000000" w:themeColor="text1"/>
          <w:szCs w:val="22"/>
        </w:rPr>
        <w:t>25</w:t>
      </w:r>
      <w:r w:rsidRPr="00746F45">
        <w:rPr>
          <w:rFonts w:cs="Arial"/>
          <w:color w:val="000000" w:themeColor="text1"/>
          <w:szCs w:val="22"/>
          <w:vertAlign w:val="superscript"/>
        </w:rPr>
        <w:t>o</w:t>
      </w:r>
      <w:r w:rsidRPr="00746F45">
        <w:rPr>
          <w:rFonts w:cs="Arial"/>
          <w:color w:val="000000" w:themeColor="text1"/>
          <w:szCs w:val="22"/>
        </w:rPr>
        <w:t xml:space="preserve"> C, 37</w:t>
      </w:r>
      <w:r w:rsidRPr="00746F45">
        <w:rPr>
          <w:rFonts w:cs="Arial"/>
          <w:color w:val="000000" w:themeColor="text1"/>
          <w:szCs w:val="22"/>
          <w:vertAlign w:val="superscript"/>
        </w:rPr>
        <w:t>o</w:t>
      </w:r>
      <w:r w:rsidRPr="00746F45">
        <w:rPr>
          <w:rFonts w:cs="Arial"/>
          <w:color w:val="000000" w:themeColor="text1"/>
          <w:szCs w:val="22"/>
        </w:rPr>
        <w:t xml:space="preserve"> C, 55</w:t>
      </w:r>
      <w:r w:rsidRPr="00746F45">
        <w:rPr>
          <w:rFonts w:cs="Arial"/>
          <w:color w:val="000000" w:themeColor="text1"/>
          <w:szCs w:val="22"/>
          <w:vertAlign w:val="superscript"/>
        </w:rPr>
        <w:t>o</w:t>
      </w:r>
      <w:r w:rsidRPr="00746F45">
        <w:rPr>
          <w:rFonts w:cs="Arial"/>
          <w:color w:val="000000" w:themeColor="text1"/>
          <w:szCs w:val="22"/>
        </w:rPr>
        <w:t xml:space="preserve"> C, 75</w:t>
      </w:r>
      <w:r w:rsidRPr="00746F45">
        <w:rPr>
          <w:rFonts w:cs="Arial"/>
          <w:color w:val="000000" w:themeColor="text1"/>
          <w:szCs w:val="22"/>
          <w:vertAlign w:val="superscript"/>
        </w:rPr>
        <w:t>o</w:t>
      </w:r>
      <w:r w:rsidRPr="00746F45">
        <w:rPr>
          <w:rFonts w:cs="Arial"/>
          <w:color w:val="000000" w:themeColor="text1"/>
          <w:szCs w:val="22"/>
        </w:rPr>
        <w:t xml:space="preserve"> C, 95</w:t>
      </w:r>
      <w:r w:rsidRPr="00746F45">
        <w:rPr>
          <w:rFonts w:cs="Arial"/>
          <w:color w:val="000000" w:themeColor="text1"/>
          <w:szCs w:val="22"/>
          <w:vertAlign w:val="superscript"/>
        </w:rPr>
        <w:t>o</w:t>
      </w:r>
      <w:r>
        <w:rPr>
          <w:rFonts w:cs="Arial"/>
          <w:color w:val="000000" w:themeColor="text1"/>
          <w:szCs w:val="22"/>
        </w:rPr>
        <w:t xml:space="preserve"> C</w:t>
      </w:r>
      <w:r w:rsidRPr="00746F45">
        <w:rPr>
          <w:rFonts w:cs="Arial"/>
          <w:color w:val="000000" w:themeColor="text1"/>
          <w:szCs w:val="22"/>
        </w:rPr>
        <w:t xml:space="preserve"> for 30 min. The purified enzyme preparations used in the analysis were derived from microbially-expressed proteins.</w:t>
      </w:r>
    </w:p>
    <w:p w14:paraId="118A7C0A" w14:textId="77777777" w:rsidR="0033454E" w:rsidRPr="00746F45" w:rsidRDefault="0033454E">
      <w:pPr>
        <w:widowControl/>
        <w:rPr>
          <w:rFonts w:cs="Arial"/>
          <w:color w:val="000000" w:themeColor="text1"/>
          <w:szCs w:val="22"/>
        </w:rPr>
      </w:pPr>
    </w:p>
    <w:p w14:paraId="08C54688" w14:textId="77777777" w:rsidR="0033454E" w:rsidRPr="00746F45" w:rsidRDefault="0033454E" w:rsidP="0033454E">
      <w:pPr>
        <w:widowControl/>
        <w:autoSpaceDE w:val="0"/>
        <w:autoSpaceDN w:val="0"/>
        <w:adjustRightInd w:val="0"/>
        <w:rPr>
          <w:rFonts w:cs="Arial"/>
          <w:color w:val="000000" w:themeColor="text1"/>
          <w:szCs w:val="22"/>
        </w:rPr>
      </w:pPr>
      <w:r w:rsidRPr="00746F45">
        <w:rPr>
          <w:rFonts w:cs="Arial"/>
          <w:color w:val="000000" w:themeColor="text1"/>
          <w:szCs w:val="22"/>
        </w:rPr>
        <w:t>For PAT, activity remained maximal after incubation at 4</w:t>
      </w:r>
      <w:r w:rsidRPr="00746F45">
        <w:rPr>
          <w:rFonts w:cs="Arial"/>
          <w:color w:val="000000" w:themeColor="text1"/>
          <w:szCs w:val="22"/>
          <w:vertAlign w:val="superscript"/>
        </w:rPr>
        <w:t>o</w:t>
      </w:r>
      <w:r w:rsidRPr="00746F45">
        <w:rPr>
          <w:rFonts w:cs="Arial"/>
          <w:color w:val="000000" w:themeColor="text1"/>
          <w:szCs w:val="22"/>
        </w:rPr>
        <w:t xml:space="preserve"> C, 25</w:t>
      </w:r>
      <w:r w:rsidRPr="00746F45">
        <w:rPr>
          <w:rFonts w:cs="Arial"/>
          <w:color w:val="000000" w:themeColor="text1"/>
          <w:szCs w:val="22"/>
          <w:vertAlign w:val="superscript"/>
        </w:rPr>
        <w:t>o</w:t>
      </w:r>
      <w:r w:rsidRPr="00746F45">
        <w:rPr>
          <w:rFonts w:cs="Arial"/>
          <w:color w:val="000000" w:themeColor="text1"/>
          <w:szCs w:val="22"/>
        </w:rPr>
        <w:t xml:space="preserve"> C, and 37</w:t>
      </w:r>
      <w:r w:rsidRPr="00746F45">
        <w:rPr>
          <w:rFonts w:cs="Arial"/>
          <w:color w:val="000000" w:themeColor="text1"/>
          <w:szCs w:val="22"/>
          <w:vertAlign w:val="superscript"/>
        </w:rPr>
        <w:t>o</w:t>
      </w:r>
      <w:r w:rsidRPr="00746F45">
        <w:rPr>
          <w:rFonts w:cs="Arial"/>
          <w:color w:val="000000" w:themeColor="text1"/>
          <w:szCs w:val="22"/>
        </w:rPr>
        <w:t xml:space="preserve"> C. After incubation at temperatures at or above 55</w:t>
      </w:r>
      <w:r w:rsidRPr="00746F45">
        <w:rPr>
          <w:rFonts w:cs="Arial"/>
          <w:color w:val="000000" w:themeColor="text1"/>
          <w:szCs w:val="22"/>
          <w:vertAlign w:val="superscript"/>
        </w:rPr>
        <w:t>o</w:t>
      </w:r>
      <w:r w:rsidRPr="00746F45">
        <w:rPr>
          <w:rFonts w:cs="Arial"/>
          <w:color w:val="000000" w:themeColor="text1"/>
          <w:szCs w:val="22"/>
        </w:rPr>
        <w:t xml:space="preserve"> C there was a complete loss of activity.</w:t>
      </w:r>
    </w:p>
    <w:p w14:paraId="132F7A0B" w14:textId="77777777" w:rsidR="0033454E" w:rsidRPr="00746F45" w:rsidRDefault="0033454E" w:rsidP="0033454E">
      <w:pPr>
        <w:widowControl/>
        <w:autoSpaceDE w:val="0"/>
        <w:autoSpaceDN w:val="0"/>
        <w:adjustRightInd w:val="0"/>
        <w:rPr>
          <w:rFonts w:cs="Arial"/>
          <w:color w:val="000000" w:themeColor="text1"/>
          <w:szCs w:val="22"/>
        </w:rPr>
      </w:pPr>
    </w:p>
    <w:p w14:paraId="1F69B909" w14:textId="77777777" w:rsidR="0033454E" w:rsidRPr="00746F45" w:rsidRDefault="0033454E" w:rsidP="0033454E">
      <w:pPr>
        <w:widowControl/>
        <w:autoSpaceDE w:val="0"/>
        <w:autoSpaceDN w:val="0"/>
        <w:adjustRightInd w:val="0"/>
        <w:rPr>
          <w:rFonts w:cs="Arial"/>
          <w:color w:val="000000" w:themeColor="text1"/>
          <w:szCs w:val="22"/>
          <w:lang w:eastAsia="en-GB" w:bidi="ar-SA"/>
        </w:rPr>
      </w:pPr>
      <w:r w:rsidRPr="00746F45">
        <w:rPr>
          <w:rFonts w:cs="Arial"/>
          <w:color w:val="000000" w:themeColor="text1"/>
          <w:szCs w:val="22"/>
        </w:rPr>
        <w:t>For Barnase, activity remained maximal after incubation at 4</w:t>
      </w:r>
      <w:r w:rsidRPr="00746F45">
        <w:rPr>
          <w:rFonts w:cs="Arial"/>
          <w:color w:val="000000" w:themeColor="text1"/>
          <w:szCs w:val="22"/>
          <w:vertAlign w:val="superscript"/>
        </w:rPr>
        <w:t>o</w:t>
      </w:r>
      <w:r w:rsidRPr="00746F45">
        <w:rPr>
          <w:rFonts w:cs="Arial"/>
          <w:color w:val="000000" w:themeColor="text1"/>
          <w:szCs w:val="22"/>
        </w:rPr>
        <w:t xml:space="preserve"> C, 25</w:t>
      </w:r>
      <w:r w:rsidRPr="00746F45">
        <w:rPr>
          <w:rFonts w:cs="Arial"/>
          <w:color w:val="000000" w:themeColor="text1"/>
          <w:szCs w:val="22"/>
          <w:vertAlign w:val="superscript"/>
        </w:rPr>
        <w:t>o</w:t>
      </w:r>
      <w:r w:rsidRPr="00746F45">
        <w:rPr>
          <w:rFonts w:cs="Arial"/>
          <w:color w:val="000000" w:themeColor="text1"/>
          <w:szCs w:val="22"/>
        </w:rPr>
        <w:t xml:space="preserve"> C, and 37</w:t>
      </w:r>
      <w:r w:rsidRPr="00746F45">
        <w:rPr>
          <w:rFonts w:cs="Arial"/>
          <w:color w:val="000000" w:themeColor="text1"/>
          <w:szCs w:val="22"/>
          <w:vertAlign w:val="superscript"/>
        </w:rPr>
        <w:t>o</w:t>
      </w:r>
      <w:r w:rsidRPr="00746F45">
        <w:rPr>
          <w:rFonts w:cs="Arial"/>
          <w:color w:val="000000" w:themeColor="text1"/>
          <w:szCs w:val="22"/>
        </w:rPr>
        <w:t xml:space="preserve"> C</w:t>
      </w:r>
      <w:r w:rsidRPr="00746F45">
        <w:rPr>
          <w:rFonts w:cs="Arial"/>
          <w:color w:val="000000" w:themeColor="text1"/>
          <w:szCs w:val="22"/>
          <w:lang w:eastAsia="en-GB" w:bidi="ar-SA"/>
        </w:rPr>
        <w:t>. After treatment at 55°C and 75°C, activity fell approximately 20% and 70% respectively. There was no residual specific activity detected after treatment at 95°C.</w:t>
      </w:r>
    </w:p>
    <w:p w14:paraId="35EC5B39" w14:textId="77777777" w:rsidR="0033454E" w:rsidRPr="00746F45" w:rsidRDefault="0033454E" w:rsidP="0033454E">
      <w:pPr>
        <w:widowControl/>
        <w:rPr>
          <w:rFonts w:cs="Arial"/>
          <w:color w:val="000000" w:themeColor="text1"/>
          <w:szCs w:val="22"/>
          <w:lang w:eastAsia="en-GB" w:bidi="ar-SA"/>
        </w:rPr>
      </w:pPr>
    </w:p>
    <w:p w14:paraId="47746216" w14:textId="77777777" w:rsidR="0033454E" w:rsidRPr="00746F45" w:rsidRDefault="0033454E" w:rsidP="0033454E">
      <w:pPr>
        <w:widowControl/>
        <w:autoSpaceDE w:val="0"/>
        <w:autoSpaceDN w:val="0"/>
        <w:adjustRightInd w:val="0"/>
        <w:rPr>
          <w:rFonts w:cs="Arial"/>
          <w:color w:val="000000" w:themeColor="text1"/>
          <w:szCs w:val="22"/>
          <w:lang w:eastAsia="en-GB" w:bidi="ar-SA"/>
        </w:rPr>
      </w:pPr>
      <w:r w:rsidRPr="00746F45">
        <w:rPr>
          <w:rFonts w:cs="Arial"/>
          <w:color w:val="000000" w:themeColor="text1"/>
          <w:szCs w:val="22"/>
          <w:lang w:eastAsia="en-GB" w:bidi="ar-SA"/>
        </w:rPr>
        <w:t>For Barstar</w:t>
      </w:r>
      <w:r>
        <w:rPr>
          <w:rFonts w:cs="Arial"/>
          <w:color w:val="000000" w:themeColor="text1"/>
          <w:szCs w:val="22"/>
          <w:lang w:eastAsia="en-GB" w:bidi="ar-SA"/>
        </w:rPr>
        <w:t>,</w:t>
      </w:r>
      <w:r w:rsidRPr="00746F45">
        <w:rPr>
          <w:rFonts w:cs="Arial"/>
          <w:color w:val="000000" w:themeColor="text1"/>
          <w:szCs w:val="22"/>
          <w:lang w:eastAsia="en-GB" w:bidi="ar-SA"/>
        </w:rPr>
        <w:t xml:space="preserve"> </w:t>
      </w:r>
      <w:r w:rsidRPr="00746F45">
        <w:rPr>
          <w:rFonts w:cs="Arial"/>
          <w:color w:val="000000" w:themeColor="text1"/>
          <w:szCs w:val="22"/>
        </w:rPr>
        <w:t>activity remained maximal after incubation at 4</w:t>
      </w:r>
      <w:r w:rsidRPr="00746F45">
        <w:rPr>
          <w:rFonts w:cs="Arial"/>
          <w:color w:val="000000" w:themeColor="text1"/>
          <w:szCs w:val="22"/>
          <w:vertAlign w:val="superscript"/>
        </w:rPr>
        <w:t>o</w:t>
      </w:r>
      <w:r w:rsidRPr="00746F45">
        <w:rPr>
          <w:rFonts w:cs="Arial"/>
          <w:color w:val="000000" w:themeColor="text1"/>
          <w:szCs w:val="22"/>
        </w:rPr>
        <w:t xml:space="preserve"> C, 25</w:t>
      </w:r>
      <w:r w:rsidRPr="00746F45">
        <w:rPr>
          <w:rFonts w:cs="Arial"/>
          <w:color w:val="000000" w:themeColor="text1"/>
          <w:szCs w:val="22"/>
          <w:vertAlign w:val="superscript"/>
        </w:rPr>
        <w:t>o</w:t>
      </w:r>
      <w:r w:rsidRPr="00746F45">
        <w:rPr>
          <w:rFonts w:cs="Arial"/>
          <w:color w:val="000000" w:themeColor="text1"/>
          <w:szCs w:val="22"/>
        </w:rPr>
        <w:t xml:space="preserve"> C, 37</w:t>
      </w:r>
      <w:r w:rsidRPr="00746F45">
        <w:rPr>
          <w:rFonts w:cs="Arial"/>
          <w:color w:val="000000" w:themeColor="text1"/>
          <w:szCs w:val="22"/>
          <w:vertAlign w:val="superscript"/>
        </w:rPr>
        <w:t>o</w:t>
      </w:r>
      <w:r w:rsidRPr="00746F45">
        <w:rPr>
          <w:rFonts w:cs="Arial"/>
          <w:color w:val="000000" w:themeColor="text1"/>
          <w:szCs w:val="22"/>
        </w:rPr>
        <w:t xml:space="preserve"> C and 55</w:t>
      </w:r>
      <w:r w:rsidRPr="00746F45">
        <w:rPr>
          <w:rFonts w:cs="Arial"/>
          <w:color w:val="000000" w:themeColor="text1"/>
          <w:szCs w:val="22"/>
          <w:vertAlign w:val="superscript"/>
        </w:rPr>
        <w:t>o</w:t>
      </w:r>
      <w:r w:rsidRPr="00746F45">
        <w:rPr>
          <w:rFonts w:cs="Arial"/>
          <w:color w:val="000000" w:themeColor="text1"/>
          <w:szCs w:val="22"/>
        </w:rPr>
        <w:t xml:space="preserve"> C. The </w:t>
      </w:r>
      <w:r w:rsidRPr="00746F45">
        <w:rPr>
          <w:rFonts w:cs="Arial"/>
          <w:color w:val="000000" w:themeColor="text1"/>
          <w:szCs w:val="22"/>
          <w:lang w:eastAsia="en-GB" w:bidi="ar-SA"/>
        </w:rPr>
        <w:t>IC</w:t>
      </w:r>
      <w:r w:rsidRPr="00746F45">
        <w:rPr>
          <w:rFonts w:cs="Arial"/>
          <w:color w:val="000000" w:themeColor="text1"/>
          <w:szCs w:val="22"/>
          <w:vertAlign w:val="subscript"/>
          <w:lang w:eastAsia="en-GB" w:bidi="ar-SA"/>
        </w:rPr>
        <w:t>50</w:t>
      </w:r>
      <w:r w:rsidRPr="00746F45">
        <w:rPr>
          <w:rFonts w:cs="Arial"/>
          <w:color w:val="000000" w:themeColor="text1"/>
          <w:szCs w:val="22"/>
          <w:lang w:eastAsia="en-GB" w:bidi="ar-SA"/>
        </w:rPr>
        <w:t xml:space="preserve"> for Barstar treated at 75°C increased 1.66-fold over the IC</w:t>
      </w:r>
      <w:r w:rsidRPr="00746F45">
        <w:rPr>
          <w:rFonts w:cs="Arial"/>
          <w:color w:val="000000" w:themeColor="text1"/>
          <w:szCs w:val="22"/>
          <w:vertAlign w:val="subscript"/>
          <w:lang w:eastAsia="en-GB" w:bidi="ar-SA"/>
        </w:rPr>
        <w:t>50</w:t>
      </w:r>
      <w:r w:rsidRPr="00746F45">
        <w:rPr>
          <w:rFonts w:cs="Arial"/>
          <w:color w:val="000000" w:themeColor="text1"/>
          <w:szCs w:val="22"/>
          <w:lang w:eastAsia="en-GB" w:bidi="ar-SA"/>
        </w:rPr>
        <w:t xml:space="preserve"> measured at 4°C. The IC</w:t>
      </w:r>
      <w:r w:rsidRPr="00746F45">
        <w:rPr>
          <w:rFonts w:cs="Arial"/>
          <w:color w:val="000000" w:themeColor="text1"/>
          <w:szCs w:val="22"/>
          <w:vertAlign w:val="subscript"/>
          <w:lang w:eastAsia="en-GB" w:bidi="ar-SA"/>
        </w:rPr>
        <w:t>50</w:t>
      </w:r>
      <w:r w:rsidRPr="00746F45">
        <w:rPr>
          <w:rFonts w:cs="Arial"/>
          <w:color w:val="000000" w:themeColor="text1"/>
          <w:szCs w:val="22"/>
          <w:lang w:eastAsia="en-GB" w:bidi="ar-SA"/>
        </w:rPr>
        <w:t xml:space="preserve"> for Barstar treated at 95°C was not able to be calculated, because there was no difference in the observed rates of Barnase </w:t>
      </w:r>
      <w:r>
        <w:rPr>
          <w:rFonts w:cs="Arial"/>
          <w:color w:val="000000" w:themeColor="text1"/>
          <w:szCs w:val="22"/>
          <w:lang w:eastAsia="en-GB" w:bidi="ar-SA"/>
        </w:rPr>
        <w:t>inactivation by Barstar at any of the</w:t>
      </w:r>
      <w:r w:rsidRPr="00746F45">
        <w:rPr>
          <w:rFonts w:cs="Arial"/>
          <w:color w:val="000000" w:themeColor="text1"/>
          <w:szCs w:val="22"/>
          <w:lang w:eastAsia="en-GB" w:bidi="ar-SA"/>
        </w:rPr>
        <w:t xml:space="preserve"> concentrations </w:t>
      </w:r>
      <w:r>
        <w:rPr>
          <w:rFonts w:cs="Arial"/>
          <w:color w:val="000000" w:themeColor="text1"/>
          <w:szCs w:val="22"/>
          <w:lang w:eastAsia="en-GB" w:bidi="ar-SA"/>
        </w:rPr>
        <w:t>of the 95°C-treated Barstar.</w:t>
      </w:r>
      <w:r w:rsidRPr="00746F45">
        <w:rPr>
          <w:rFonts w:cs="Arial"/>
          <w:color w:val="000000" w:themeColor="text1"/>
          <w:szCs w:val="22"/>
          <w:lang w:eastAsia="en-GB" w:bidi="ar-SA"/>
        </w:rPr>
        <w:t xml:space="preserve"> This indicated that Barstar sample treated at 95°C had no activity as an inhibitor of Barnase.</w:t>
      </w:r>
    </w:p>
    <w:p w14:paraId="56E3D1AA" w14:textId="77777777" w:rsidR="0033454E" w:rsidRDefault="0033454E" w:rsidP="0033454E">
      <w:pPr>
        <w:widowControl/>
        <w:autoSpaceDE w:val="0"/>
        <w:autoSpaceDN w:val="0"/>
        <w:adjustRightInd w:val="0"/>
        <w:rPr>
          <w:rFonts w:cs="Arial"/>
          <w:color w:val="000000" w:themeColor="text1"/>
          <w:szCs w:val="22"/>
          <w:lang w:eastAsia="en-GB" w:bidi="ar-SA"/>
        </w:rPr>
      </w:pPr>
    </w:p>
    <w:p w14:paraId="7CEF4145" w14:textId="77777777" w:rsidR="0033454E" w:rsidRPr="00C0647B" w:rsidRDefault="0033454E" w:rsidP="0033454E">
      <w:pPr>
        <w:widowControl/>
        <w:autoSpaceDE w:val="0"/>
        <w:autoSpaceDN w:val="0"/>
        <w:adjustRightInd w:val="0"/>
        <w:rPr>
          <w:rFonts w:cs="Arial"/>
          <w:color w:val="000000" w:themeColor="text1"/>
          <w:szCs w:val="22"/>
          <w:lang w:eastAsia="en-GB" w:bidi="ar-SA"/>
        </w:rPr>
      </w:pPr>
      <w:r>
        <w:rPr>
          <w:rFonts w:cs="Arial"/>
          <w:szCs w:val="22"/>
          <w:lang w:eastAsia="en-AU" w:bidi="ar-SA"/>
        </w:rPr>
        <w:t>Heat stability was also determined for the Barnase and Barstar proteins by SDS-PAGE/western blotting and ELISA. Results from both analyses aligned with the activity results; Barnase begins to become unstable at 55</w:t>
      </w:r>
      <w:r>
        <w:rPr>
          <w:rFonts w:cs="Arial"/>
          <w:szCs w:val="22"/>
          <w:vertAlign w:val="superscript"/>
          <w:lang w:eastAsia="en-AU" w:bidi="ar-SA"/>
        </w:rPr>
        <w:t>o</w:t>
      </w:r>
      <w:r>
        <w:rPr>
          <w:rFonts w:cs="Arial"/>
          <w:szCs w:val="22"/>
          <w:lang w:eastAsia="en-AU" w:bidi="ar-SA"/>
        </w:rPr>
        <w:t xml:space="preserve"> C and Barstar is not stable at 95</w:t>
      </w:r>
      <w:r>
        <w:rPr>
          <w:rFonts w:cs="Arial"/>
          <w:szCs w:val="22"/>
          <w:vertAlign w:val="superscript"/>
          <w:lang w:eastAsia="en-AU" w:bidi="ar-SA"/>
        </w:rPr>
        <w:t>o</w:t>
      </w:r>
      <w:r>
        <w:rPr>
          <w:rFonts w:cs="Arial"/>
          <w:szCs w:val="22"/>
          <w:lang w:eastAsia="en-AU" w:bidi="ar-SA"/>
        </w:rPr>
        <w:t xml:space="preserve"> C.</w:t>
      </w:r>
    </w:p>
    <w:p w14:paraId="01A7DE18" w14:textId="77777777" w:rsidR="0033454E" w:rsidRPr="00662311" w:rsidRDefault="0033454E" w:rsidP="0033454E">
      <w:pPr>
        <w:widowControl/>
        <w:autoSpaceDE w:val="0"/>
        <w:autoSpaceDN w:val="0"/>
        <w:adjustRightInd w:val="0"/>
        <w:rPr>
          <w:rFonts w:cs="Arial"/>
          <w:color w:val="000000" w:themeColor="text1"/>
          <w:szCs w:val="22"/>
          <w:lang w:eastAsia="en-GB" w:bidi="ar-SA"/>
        </w:rPr>
      </w:pPr>
    </w:p>
    <w:p w14:paraId="391DB849" w14:textId="0653EA8D" w:rsidR="0033454E" w:rsidRPr="00662311" w:rsidRDefault="0033454E" w:rsidP="0033454E">
      <w:pPr>
        <w:widowControl/>
        <w:autoSpaceDE w:val="0"/>
        <w:autoSpaceDN w:val="0"/>
        <w:adjustRightInd w:val="0"/>
        <w:rPr>
          <w:rFonts w:cs="Arial"/>
          <w:color w:val="000000" w:themeColor="text1"/>
          <w:szCs w:val="22"/>
          <w:lang w:eastAsia="en-GB" w:bidi="ar-SA"/>
        </w:rPr>
      </w:pPr>
      <w:r>
        <w:rPr>
          <w:rFonts w:cs="Arial"/>
          <w:color w:val="000000" w:themeColor="text1"/>
          <w:szCs w:val="22"/>
          <w:lang w:eastAsia="en-GB" w:bidi="ar-SA"/>
        </w:rPr>
        <w:t>The main food use for canola is oil. The</w:t>
      </w:r>
      <w:r w:rsidRPr="00662311">
        <w:rPr>
          <w:rFonts w:cs="Arial"/>
          <w:color w:val="000000" w:themeColor="text1"/>
          <w:szCs w:val="22"/>
          <w:lang w:eastAsia="en-GB" w:bidi="ar-SA"/>
        </w:rPr>
        <w:t xml:space="preserve"> temperatures requir</w:t>
      </w:r>
      <w:r>
        <w:rPr>
          <w:rFonts w:cs="Arial"/>
          <w:color w:val="000000" w:themeColor="text1"/>
          <w:szCs w:val="22"/>
          <w:lang w:eastAsia="en-GB" w:bidi="ar-SA"/>
        </w:rPr>
        <w:t>ed to completely inactivate all three</w:t>
      </w:r>
      <w:r w:rsidRPr="00662311">
        <w:rPr>
          <w:rFonts w:cs="Arial"/>
          <w:iCs/>
          <w:color w:val="000000" w:themeColor="text1"/>
          <w:szCs w:val="22"/>
          <w:lang w:eastAsia="en-GB" w:bidi="ar-SA"/>
        </w:rPr>
        <w:t xml:space="preserve"> proteins </w:t>
      </w:r>
      <w:r w:rsidRPr="00662311">
        <w:rPr>
          <w:rFonts w:cs="Arial"/>
          <w:color w:val="000000" w:themeColor="text1"/>
          <w:szCs w:val="22"/>
          <w:lang w:eastAsia="en-GB" w:bidi="ar-SA"/>
        </w:rPr>
        <w:t xml:space="preserve">are within those normally applied during the cooking/conditioning of </w:t>
      </w:r>
      <w:r>
        <w:rPr>
          <w:rFonts w:cs="Arial"/>
          <w:color w:val="000000" w:themeColor="text1"/>
          <w:szCs w:val="22"/>
          <w:lang w:eastAsia="en-GB" w:bidi="ar-SA"/>
        </w:rPr>
        <w:t xml:space="preserve">canola </w:t>
      </w:r>
      <w:r w:rsidRPr="00662311">
        <w:rPr>
          <w:rFonts w:cs="Arial"/>
          <w:color w:val="000000" w:themeColor="text1"/>
          <w:szCs w:val="22"/>
          <w:lang w:eastAsia="en-GB" w:bidi="ar-SA"/>
        </w:rPr>
        <w:t>seed prior to oil extraction. Cooking serves to thermally rupture oil cells which have survived flaking, reduce oil viscosity thereby promoting coalescence of oil droplets, increase the diffusion rate of prepared oil cake, and denature hydrolytic enzymes. The cooking cycle usually lasts 15 to 20 minutes and the temperatures usually range between 80 and 105°C</w:t>
      </w:r>
      <w:r>
        <w:rPr>
          <w:rFonts w:cs="Arial"/>
          <w:color w:val="000000" w:themeColor="text1"/>
          <w:szCs w:val="22"/>
          <w:lang w:eastAsia="en-GB" w:bidi="ar-SA"/>
        </w:rPr>
        <w:t xml:space="preserve">, with an optimum of about 88°C </w:t>
      </w:r>
      <w:r>
        <w:rPr>
          <w:rFonts w:cs="Arial"/>
          <w:noProof/>
          <w:color w:val="000000" w:themeColor="text1"/>
          <w:szCs w:val="22"/>
          <w:lang w:eastAsia="en-GB" w:bidi="ar-SA"/>
        </w:rPr>
        <w:t>(OECD 2011)</w:t>
      </w:r>
      <w:r>
        <w:rPr>
          <w:rFonts w:cs="Arial"/>
          <w:color w:val="000000" w:themeColor="text1"/>
          <w:szCs w:val="22"/>
          <w:lang w:eastAsia="en-GB" w:bidi="ar-SA"/>
        </w:rPr>
        <w:t>.</w:t>
      </w:r>
    </w:p>
    <w:p w14:paraId="4433A252" w14:textId="77777777" w:rsidR="0033454E" w:rsidRPr="00E75601" w:rsidRDefault="0033454E" w:rsidP="001E4C6F">
      <w:pPr>
        <w:pStyle w:val="Heading4"/>
      </w:pPr>
      <w:r w:rsidRPr="00E75601">
        <w:t>4.1.5.2</w:t>
      </w:r>
      <w:r w:rsidRPr="00E75601">
        <w:tab/>
        <w:t>Potential allergenicity of PAT, Barnase and Barstar</w:t>
      </w:r>
    </w:p>
    <w:p w14:paraId="38BF2E19" w14:textId="77777777" w:rsidR="0033454E" w:rsidRPr="00E75601" w:rsidRDefault="0033454E" w:rsidP="0033454E">
      <w:pPr>
        <w:rPr>
          <w:rFonts w:cs="Arial"/>
          <w:color w:val="000000" w:themeColor="text1"/>
          <w:szCs w:val="22"/>
        </w:rPr>
      </w:pPr>
      <w:r w:rsidRPr="00E75601">
        <w:rPr>
          <w:rFonts w:cs="Arial"/>
          <w:color w:val="000000" w:themeColor="text1"/>
          <w:szCs w:val="22"/>
        </w:rPr>
        <w:t xml:space="preserve">The potential allergenicity of the three novel proteins was evaluated using an integrated, step-wise, case-by-case approach relying on various criteria used in combination. This is because no single criterion is sufficiently predictive of either allergenicity or non-allergenicity </w:t>
      </w:r>
      <w:r>
        <w:rPr>
          <w:rFonts w:cs="Arial"/>
          <w:noProof/>
          <w:color w:val="000000" w:themeColor="text1"/>
          <w:szCs w:val="22"/>
        </w:rPr>
        <w:t>(see e.g. Thomas et al. 2009)</w:t>
      </w:r>
      <w:r w:rsidRPr="00E75601">
        <w:rPr>
          <w:rFonts w:cs="Arial"/>
          <w:color w:val="000000" w:themeColor="text1"/>
          <w:szCs w:val="22"/>
        </w:rPr>
        <w:t xml:space="preserve">. The assessment focuses on: </w:t>
      </w:r>
    </w:p>
    <w:p w14:paraId="1958543E" w14:textId="77777777" w:rsidR="0033454E" w:rsidRPr="00E75601" w:rsidRDefault="0033454E" w:rsidP="0033454E">
      <w:pPr>
        <w:rPr>
          <w:rFonts w:cs="Arial"/>
          <w:color w:val="000000" w:themeColor="text1"/>
          <w:szCs w:val="22"/>
        </w:rPr>
      </w:pPr>
    </w:p>
    <w:p w14:paraId="6CA49C39" w14:textId="77777777" w:rsidR="0033454E" w:rsidRPr="00E75601" w:rsidRDefault="0033454E" w:rsidP="001E4C6F">
      <w:pPr>
        <w:pStyle w:val="FSBullet1"/>
      </w:pPr>
      <w:r w:rsidRPr="00E75601">
        <w:t xml:space="preserve">the source of the novel protein; </w:t>
      </w:r>
    </w:p>
    <w:p w14:paraId="020A1E69" w14:textId="77777777" w:rsidR="0033454E" w:rsidRPr="00E75601" w:rsidRDefault="0033454E" w:rsidP="001E4C6F">
      <w:pPr>
        <w:pStyle w:val="FSBullet1"/>
      </w:pPr>
      <w:r w:rsidRPr="00E75601">
        <w:t>any significant amino acid sequence similarity between the novel protein and known allergens;</w:t>
      </w:r>
    </w:p>
    <w:p w14:paraId="593D649B" w14:textId="7F46BD54" w:rsidR="00A35DB9" w:rsidRDefault="0033454E" w:rsidP="001E4C6F">
      <w:pPr>
        <w:pStyle w:val="FSBullet1"/>
      </w:pPr>
      <w:r w:rsidRPr="00E75601">
        <w:t>the structural properties of the novel protein, including susceptibility to digestion, heat stability and/or enzymatic treatment; and</w:t>
      </w:r>
      <w:r w:rsidR="00A35DB9">
        <w:br w:type="page"/>
      </w:r>
    </w:p>
    <w:p w14:paraId="23496C93" w14:textId="77777777" w:rsidR="0033454E" w:rsidRPr="00E75601" w:rsidRDefault="0033454E" w:rsidP="001E4C6F">
      <w:pPr>
        <w:pStyle w:val="FSBullet1"/>
      </w:pPr>
      <w:r w:rsidRPr="00E75601">
        <w:lastRenderedPageBreak/>
        <w:t>specific serum screening if the novel protein is derived from a source known to be allergenic or has amino acid sequence similarity to a known allergen.</w:t>
      </w:r>
    </w:p>
    <w:p w14:paraId="52D6FAD9" w14:textId="77777777" w:rsidR="0033454E" w:rsidRPr="00E75601" w:rsidRDefault="0033454E" w:rsidP="0033454E">
      <w:pPr>
        <w:rPr>
          <w:rFonts w:cs="Arial"/>
          <w:color w:val="000000" w:themeColor="text1"/>
          <w:szCs w:val="22"/>
        </w:rPr>
      </w:pPr>
    </w:p>
    <w:p w14:paraId="1C62408F" w14:textId="77777777" w:rsidR="0033454E" w:rsidRPr="00E75601" w:rsidRDefault="0033454E" w:rsidP="0033454E">
      <w:pPr>
        <w:rPr>
          <w:rFonts w:cs="Arial"/>
          <w:color w:val="000000" w:themeColor="text1"/>
          <w:szCs w:val="22"/>
        </w:rPr>
      </w:pPr>
      <w:r w:rsidRPr="00E75601">
        <w:rPr>
          <w:rFonts w:cs="Arial"/>
          <w:color w:val="000000" w:themeColor="text1"/>
          <w:szCs w:val="22"/>
        </w:rPr>
        <w:t>Applying this approach systematically provides reasonable evidence about the potential of a novel protein to act as an allergen.</w:t>
      </w:r>
    </w:p>
    <w:p w14:paraId="00536CBE" w14:textId="77777777" w:rsidR="0033454E" w:rsidRPr="00E75601" w:rsidRDefault="0033454E" w:rsidP="0033454E">
      <w:pPr>
        <w:widowControl/>
        <w:autoSpaceDE w:val="0"/>
        <w:autoSpaceDN w:val="0"/>
        <w:adjustRightInd w:val="0"/>
        <w:rPr>
          <w:rFonts w:eastAsia="TimesNewRoman" w:cs="Arial"/>
          <w:color w:val="000000" w:themeColor="text1"/>
          <w:szCs w:val="22"/>
          <w:lang w:eastAsia="en-GB"/>
        </w:rPr>
      </w:pPr>
    </w:p>
    <w:p w14:paraId="0314F9F4" w14:textId="77777777" w:rsidR="0033454E" w:rsidRPr="00E75601"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imesNewRoman" w:cs="Arial"/>
          <w:b/>
          <w:color w:val="000000" w:themeColor="text1"/>
          <w:sz w:val="20"/>
          <w:szCs w:val="20"/>
          <w:lang w:eastAsia="en-GB"/>
        </w:rPr>
      </w:pPr>
      <w:r w:rsidRPr="00E75601">
        <w:rPr>
          <w:rFonts w:eastAsia="TimesNewRoman" w:cs="Arial"/>
          <w:b/>
          <w:color w:val="000000" w:themeColor="text1"/>
          <w:sz w:val="20"/>
          <w:szCs w:val="20"/>
          <w:lang w:eastAsia="en-GB"/>
        </w:rPr>
        <w:t>Studies submitted</w:t>
      </w:r>
    </w:p>
    <w:p w14:paraId="56C5A7B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imesNewRoman" w:cs="Arial"/>
          <w:color w:val="000000" w:themeColor="text1"/>
          <w:sz w:val="20"/>
          <w:szCs w:val="20"/>
          <w:lang w:eastAsia="en-GB"/>
        </w:rPr>
      </w:pPr>
    </w:p>
    <w:p w14:paraId="77C0A393" w14:textId="77777777" w:rsidR="0033454E" w:rsidRPr="004E00AB"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b/>
          <w:color w:val="000000" w:themeColor="text1"/>
          <w:sz w:val="20"/>
          <w:szCs w:val="20"/>
          <w:lang w:eastAsia="en-GB" w:bidi="ar-SA"/>
        </w:rPr>
      </w:pPr>
      <w:r>
        <w:rPr>
          <w:rFonts w:cs="Arial"/>
          <w:b/>
          <w:color w:val="000000" w:themeColor="text1"/>
          <w:sz w:val="20"/>
          <w:szCs w:val="20"/>
          <w:lang w:eastAsia="en-GB" w:bidi="ar-SA"/>
        </w:rPr>
        <w:t>Bioinformatics</w:t>
      </w:r>
    </w:p>
    <w:p w14:paraId="34502BCC"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protein - Amino acid sequence homology search with known allergens and known toxins. Unpublished Bayer Crop Science Report. Document no. M-084359-10-1.</w:t>
      </w:r>
    </w:p>
    <w:p w14:paraId="02AD1272"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Barnase protein - Amino acid sequence homology search with known allergens and known toxins. Unpublished Bayer Crop Science Report. Document no. M-552256-01-1.</w:t>
      </w:r>
    </w:p>
    <w:p w14:paraId="44A95104"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Barstar protein - Amino acid sequence homology search with known allergens and known toxins. Unpublished Bayer Crop Science Report. Document no. M-552416-01-1.</w:t>
      </w:r>
    </w:p>
    <w:p w14:paraId="2E95E9BD" w14:textId="77777777" w:rsidR="0033454E" w:rsidRPr="00D1548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imesNewRoman" w:cs="Arial"/>
          <w:b/>
          <w:color w:val="000000" w:themeColor="text1"/>
          <w:sz w:val="20"/>
          <w:szCs w:val="20"/>
          <w:lang w:eastAsia="en-GB"/>
        </w:rPr>
      </w:pPr>
      <w:r w:rsidRPr="00E75601">
        <w:rPr>
          <w:rFonts w:eastAsia="TimesNewRoman" w:cs="Arial"/>
          <w:b/>
          <w:i/>
          <w:color w:val="000000" w:themeColor="text1"/>
          <w:sz w:val="20"/>
          <w:szCs w:val="20"/>
          <w:lang w:eastAsia="en-GB"/>
        </w:rPr>
        <w:t>In vitro</w:t>
      </w:r>
      <w:r w:rsidRPr="00E75601">
        <w:rPr>
          <w:rFonts w:eastAsia="TimesNewRoman" w:cs="Arial"/>
          <w:b/>
          <w:color w:val="000000" w:themeColor="text1"/>
          <w:sz w:val="20"/>
          <w:szCs w:val="20"/>
          <w:lang w:eastAsia="en-GB"/>
        </w:rPr>
        <w:t xml:space="preserve"> digestibility</w:t>
      </w:r>
    </w:p>
    <w:p w14:paraId="4834B5A0"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2009.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protein: in vitro digestibility study in human simulated gastric fluid. Unpublished Bayer Crop Science Report. Document no. M-217195-04-1.</w:t>
      </w:r>
    </w:p>
    <w:p w14:paraId="29289D48"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2012. Barnase protein - In vitro digestibility study in human simulated gastric fluid at pH 1.2. Unpublished Bayer Crop Science Report. Document no. M-430109-01-1.</w:t>
      </w:r>
    </w:p>
    <w:p w14:paraId="1626AB0D"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2012. Barstar protein in vitro digestibility study in human simulated gastric fluid at pH 1.2. Unpublished Bayer Crop Science Report. Document no. M-429793-01-1.</w:t>
      </w:r>
    </w:p>
    <w:p w14:paraId="647CC7AB"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PAT/</w:t>
      </w:r>
      <w:r>
        <w:rPr>
          <w:rFonts w:ascii="Arial-ItalicMT" w:hAnsi="Arial-ItalicMT" w:cs="Arial-ItalicMT"/>
          <w:i/>
          <w:iCs/>
          <w:sz w:val="20"/>
          <w:szCs w:val="20"/>
          <w:lang w:eastAsia="en-GB" w:bidi="ar-SA"/>
        </w:rPr>
        <w:t xml:space="preserve">bar </w:t>
      </w:r>
      <w:r>
        <w:rPr>
          <w:rFonts w:ascii="ArialMT" w:hAnsi="ArialMT" w:cs="ArialMT"/>
          <w:sz w:val="20"/>
          <w:szCs w:val="20"/>
          <w:lang w:eastAsia="en-GB" w:bidi="ar-SA"/>
        </w:rPr>
        <w:t>protein: in vitro digestibility study in human simulated intestinal fluid - Report amendment no 1 of final report. Unpublished Bayer Crop Science Report. Document no. M-20879304-1.</w:t>
      </w:r>
    </w:p>
    <w:p w14:paraId="2204E2EF"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 xml:space="preserve">2016. Barnase protein - In vitro digestibility study in human simulated intestinal fluid </w:t>
      </w:r>
      <w:r>
        <w:rPr>
          <w:rFonts w:cs="Arial"/>
          <w:sz w:val="20"/>
          <w:szCs w:val="20"/>
          <w:lang w:eastAsia="en-GB" w:bidi="ar-SA"/>
        </w:rPr>
        <w:t xml:space="preserve">– </w:t>
      </w:r>
      <w:r>
        <w:rPr>
          <w:rFonts w:ascii="ArialMT" w:hAnsi="ArialMT" w:cs="ArialMT"/>
          <w:sz w:val="20"/>
          <w:szCs w:val="20"/>
          <w:lang w:eastAsia="en-GB" w:bidi="ar-SA"/>
        </w:rPr>
        <w:t>Report amendment no.1 of final study. Unpublished Bayer Crop Science Report. Document no. M-430112-01-1.</w:t>
      </w:r>
    </w:p>
    <w:p w14:paraId="3082AF4F"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2016. Barstar protein - In vitro digestibility study in human simulated intestinal fluid - Report amendment no 1 of final report. Unpublished Bayer Crop Science Report. Document no. M-429800-02-1.</w:t>
      </w:r>
    </w:p>
    <w:p w14:paraId="208C444A"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Recombinant Barnase/Barstar complex protein: In vitro digestibility study in human simulated gastric fluid at pH 1.2. Unpublished Bayer Crop Science Report. Document no. M-476903-01-1.</w:t>
      </w:r>
    </w:p>
    <w:p w14:paraId="40249583"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Recombinant Barnase/Barstar complex protein: In vitro digestibility study in human simulated intestinal fluid. Unpublished Bayer Crop Science Report. Document no. M-476904-01-1.</w:t>
      </w:r>
    </w:p>
    <w:p w14:paraId="51677F53" w14:textId="77777777" w:rsidR="0033454E" w:rsidRPr="00C66EB5" w:rsidRDefault="0033454E" w:rsidP="001E4C6F">
      <w:pPr>
        <w:pStyle w:val="Heading5"/>
        <w:rPr>
          <w:lang w:eastAsia="en-GB"/>
        </w:rPr>
      </w:pPr>
      <w:r w:rsidRPr="00C66EB5">
        <w:rPr>
          <w:lang w:eastAsia="en-GB"/>
        </w:rPr>
        <w:t>Sources of the proteins</w:t>
      </w:r>
    </w:p>
    <w:p w14:paraId="2DE74245" w14:textId="312E856B" w:rsidR="0033454E" w:rsidRPr="004F4FDA" w:rsidRDefault="0033454E" w:rsidP="001E4C6F">
      <w:pPr>
        <w:widowControl/>
        <w:autoSpaceDE w:val="0"/>
        <w:autoSpaceDN w:val="0"/>
        <w:adjustRightInd w:val="0"/>
        <w:rPr>
          <w:rFonts w:cs="Arial"/>
          <w:color w:val="000000" w:themeColor="text1"/>
          <w:szCs w:val="22"/>
        </w:rPr>
      </w:pPr>
      <w:r w:rsidRPr="00C66EB5">
        <w:rPr>
          <w:rFonts w:cs="Arial"/>
          <w:color w:val="000000" w:themeColor="text1"/>
          <w:szCs w:val="22"/>
        </w:rPr>
        <w:t xml:space="preserve">The PAT protein is derived from </w:t>
      </w:r>
      <w:r w:rsidRPr="00C66EB5">
        <w:rPr>
          <w:rFonts w:cs="Arial"/>
          <w:i/>
          <w:color w:val="000000" w:themeColor="text1"/>
          <w:szCs w:val="22"/>
        </w:rPr>
        <w:t>S. hygroscopicus</w:t>
      </w:r>
      <w:r w:rsidRPr="00C66EB5">
        <w:rPr>
          <w:rFonts w:cs="Arial"/>
          <w:color w:val="000000" w:themeColor="text1"/>
          <w:szCs w:val="22"/>
        </w:rPr>
        <w:t xml:space="preserve"> and the Barnase and Barstar proteins are derived from </w:t>
      </w:r>
      <w:r w:rsidRPr="00C66EB5">
        <w:rPr>
          <w:rFonts w:cs="Arial"/>
          <w:i/>
          <w:color w:val="000000" w:themeColor="text1"/>
          <w:szCs w:val="22"/>
        </w:rPr>
        <w:t>B. amyloliquefaciens</w:t>
      </w:r>
      <w:r w:rsidRPr="00C66EB5">
        <w:rPr>
          <w:rFonts w:cs="Arial"/>
          <w:color w:val="000000" w:themeColor="text1"/>
          <w:szCs w:val="22"/>
        </w:rPr>
        <w:t xml:space="preserve"> (</w:t>
      </w:r>
      <w:r w:rsidRPr="004F4FDA">
        <w:rPr>
          <w:rFonts w:cs="Arial"/>
          <w:color w:val="000000" w:themeColor="text1"/>
          <w:szCs w:val="22"/>
        </w:rPr>
        <w:t xml:space="preserve">see Section 2.2). </w:t>
      </w:r>
      <w:r w:rsidRPr="004F4FDA">
        <w:rPr>
          <w:color w:val="000000" w:themeColor="text1"/>
          <w:lang w:val="en-AU"/>
        </w:rPr>
        <w:t xml:space="preserve">No endogenous proteins from either of these species are listed in the Food Allergy Research and Resource Program (FARRP) </w:t>
      </w:r>
      <w:hyperlink r:id="rId31" w:history="1">
        <w:r w:rsidRPr="004F4FDA">
          <w:rPr>
            <w:rStyle w:val="Hyperlink"/>
            <w:color w:val="0000FF"/>
            <w:lang w:val="en-AU"/>
          </w:rPr>
          <w:t>Allergen Protein Database</w:t>
        </w:r>
      </w:hyperlink>
      <w:r w:rsidRPr="004F4FDA">
        <w:rPr>
          <w:rStyle w:val="FootnoteReference"/>
          <w:color w:val="000000" w:themeColor="text1"/>
          <w:lang w:val="en-AU"/>
        </w:rPr>
        <w:footnoteReference w:id="17"/>
      </w:r>
      <w:r w:rsidRPr="004F4FDA">
        <w:rPr>
          <w:color w:val="000000" w:themeColor="text1"/>
          <w:lang w:val="en-AU"/>
        </w:rPr>
        <w:t xml:space="preserve"> (accessed 19 January 2017 and containing 2,035 entries). As indicated in Section 2.2, </w:t>
      </w:r>
      <w:r w:rsidRPr="004F4FDA">
        <w:rPr>
          <w:i/>
          <w:color w:val="000000" w:themeColor="text1"/>
          <w:lang w:val="en-AU"/>
        </w:rPr>
        <w:t>B. amyloliquefaciens</w:t>
      </w:r>
      <w:r w:rsidRPr="004F4FDA">
        <w:rPr>
          <w:color w:val="000000" w:themeColor="text1"/>
          <w:lang w:val="en-AU"/>
        </w:rPr>
        <w:t xml:space="preserve"> </w:t>
      </w:r>
      <w:r w:rsidRPr="004F4FDA">
        <w:rPr>
          <w:color w:val="000000" w:themeColor="text1"/>
        </w:rPr>
        <w:t xml:space="preserve">has been used </w:t>
      </w:r>
      <w:r w:rsidRPr="004F4FDA">
        <w:rPr>
          <w:rFonts w:ascii="ArialMT" w:hAnsi="ArialMT" w:cs="ArialMT"/>
          <w:color w:val="000000" w:themeColor="text1"/>
          <w:sz w:val="21"/>
          <w:szCs w:val="21"/>
          <w:lang w:eastAsia="en-GB" w:bidi="ar-SA"/>
        </w:rPr>
        <w:t>as a safe production organism for a number of food-grade enzymes.</w:t>
      </w:r>
    </w:p>
    <w:p w14:paraId="1BE60EF6" w14:textId="77777777" w:rsidR="0033454E" w:rsidRPr="004F4FDA" w:rsidRDefault="0033454E" w:rsidP="001E4C6F">
      <w:pPr>
        <w:pStyle w:val="Heading5"/>
      </w:pPr>
      <w:r w:rsidRPr="004F4FDA">
        <w:t>Similarity to known allergens</w:t>
      </w:r>
    </w:p>
    <w:p w14:paraId="09B93BD1" w14:textId="1B8AF9E9" w:rsidR="00A35DB9" w:rsidRDefault="0033454E" w:rsidP="0033454E">
      <w:pPr>
        <w:rPr>
          <w:rFonts w:cs="Arial"/>
          <w:color w:val="000000" w:themeColor="text1"/>
          <w:szCs w:val="22"/>
        </w:rPr>
      </w:pPr>
      <w:r w:rsidRPr="004F4FDA">
        <w:rPr>
          <w:rFonts w:cs="Arial"/>
          <w:color w:val="000000" w:themeColor="text1"/>
          <w:szCs w:val="22"/>
        </w:rPr>
        <w:t xml:space="preserve">Bioinformatic analysis provides part of a weight of evidence approach for assessing potential allergenicity of novel proteins introduced to GM plants </w:t>
      </w:r>
      <w:r>
        <w:rPr>
          <w:rFonts w:cs="Arial"/>
          <w:noProof/>
          <w:color w:val="000000" w:themeColor="text1"/>
          <w:szCs w:val="22"/>
        </w:rPr>
        <w:t>(Thomas et al. 2005; Goodman 2006)</w:t>
      </w:r>
      <w:r w:rsidRPr="004F4FDA">
        <w:rPr>
          <w:rFonts w:cs="Arial"/>
          <w:color w:val="000000" w:themeColor="text1"/>
          <w:szCs w:val="22"/>
        </w:rPr>
        <w:t>. It is a method for comparing the amino acid sequence of the introduced protein with sequences of known allergens in order to indicate potential cross-reactivity between allergenic proteins and the introduced protein. As with the bioinformatic analysis that looked at similarities of the novel proteins with known protein toxins (refer to Section</w:t>
      </w:r>
      <w:r w:rsidRPr="004F4FDA">
        <w:rPr>
          <w:color w:val="000000" w:themeColor="text1"/>
        </w:rPr>
        <w:t xml:space="preserve"> 4.1.5.1</w:t>
      </w:r>
      <w:r w:rsidRPr="004F4FDA">
        <w:rPr>
          <w:rFonts w:cs="Arial"/>
          <w:color w:val="000000" w:themeColor="text1"/>
          <w:szCs w:val="22"/>
        </w:rPr>
        <w:t xml:space="preserve">), the generation of an </w:t>
      </w:r>
      <w:r w:rsidRPr="004F4FDA">
        <w:rPr>
          <w:rFonts w:cs="Arial"/>
          <w:i/>
          <w:color w:val="000000" w:themeColor="text1"/>
          <w:szCs w:val="22"/>
        </w:rPr>
        <w:t>E</w:t>
      </w:r>
      <w:r w:rsidRPr="004F4FDA">
        <w:rPr>
          <w:rFonts w:cs="Arial"/>
          <w:color w:val="000000" w:themeColor="text1"/>
          <w:szCs w:val="22"/>
        </w:rPr>
        <w:t xml:space="preserve"> value provides an important indicator of significance of matches </w:t>
      </w:r>
      <w:r>
        <w:rPr>
          <w:rFonts w:cs="Arial"/>
          <w:noProof/>
          <w:color w:val="000000" w:themeColor="text1"/>
          <w:szCs w:val="22"/>
        </w:rPr>
        <w:t>(Pearson 2000; Baxevanis 2005)</w:t>
      </w:r>
      <w:r w:rsidRPr="004F4FDA">
        <w:rPr>
          <w:rFonts w:cs="Arial"/>
          <w:color w:val="000000" w:themeColor="text1"/>
          <w:szCs w:val="22"/>
        </w:rPr>
        <w:t>.</w:t>
      </w:r>
      <w:r w:rsidR="00A35DB9">
        <w:rPr>
          <w:rFonts w:cs="Arial"/>
          <w:color w:val="000000" w:themeColor="text1"/>
          <w:szCs w:val="22"/>
        </w:rPr>
        <w:br w:type="page"/>
      </w:r>
    </w:p>
    <w:p w14:paraId="6B26E177" w14:textId="77777777" w:rsidR="0033454E" w:rsidRDefault="0033454E" w:rsidP="0033454E">
      <w:pPr>
        <w:widowControl/>
        <w:autoSpaceDE w:val="0"/>
        <w:autoSpaceDN w:val="0"/>
        <w:adjustRightInd w:val="0"/>
        <w:rPr>
          <w:rFonts w:cs="Arial"/>
          <w:color w:val="000000" w:themeColor="text1"/>
          <w:szCs w:val="22"/>
        </w:rPr>
      </w:pPr>
      <w:r w:rsidRPr="001279B4">
        <w:rPr>
          <w:rFonts w:cs="Arial"/>
          <w:color w:val="000000" w:themeColor="text1"/>
          <w:szCs w:val="22"/>
        </w:rPr>
        <w:lastRenderedPageBreak/>
        <w:t xml:space="preserve">To evaluate the similarity to known allergens of the </w:t>
      </w:r>
      <w:r>
        <w:rPr>
          <w:rFonts w:cs="Arial"/>
          <w:color w:val="000000" w:themeColor="text1"/>
          <w:szCs w:val="22"/>
        </w:rPr>
        <w:t>three</w:t>
      </w:r>
      <w:r w:rsidRPr="001279B4">
        <w:rPr>
          <w:rFonts w:cs="Arial"/>
          <w:color w:val="000000" w:themeColor="text1"/>
          <w:szCs w:val="22"/>
        </w:rPr>
        <w:t xml:space="preserve"> </w:t>
      </w:r>
      <w:r w:rsidRPr="001279B4">
        <w:rPr>
          <w:rFonts w:cs="Arial"/>
          <w:bCs/>
          <w:color w:val="000000" w:themeColor="text1"/>
          <w:szCs w:val="22"/>
        </w:rPr>
        <w:t>proteins</w:t>
      </w:r>
      <w:r w:rsidRPr="001279B4">
        <w:rPr>
          <w:rFonts w:cs="Arial"/>
          <w:bCs/>
          <w:color w:val="000000" w:themeColor="text1"/>
          <w:sz w:val="20"/>
          <w:szCs w:val="20"/>
        </w:rPr>
        <w:t xml:space="preserve"> </w:t>
      </w:r>
      <w:r w:rsidRPr="001279B4">
        <w:rPr>
          <w:rFonts w:cs="Arial"/>
          <w:color w:val="000000" w:themeColor="text1"/>
          <w:szCs w:val="22"/>
        </w:rPr>
        <w:t xml:space="preserve">an epitope search was carried out to identify any short sequences of amino acids that might represent an isolated shared allergenic epitope. </w:t>
      </w:r>
    </w:p>
    <w:p w14:paraId="712AB63F" w14:textId="77777777" w:rsidR="00F75B45" w:rsidRPr="001279B4" w:rsidRDefault="00F75B45" w:rsidP="0033454E">
      <w:pPr>
        <w:widowControl/>
        <w:autoSpaceDE w:val="0"/>
        <w:autoSpaceDN w:val="0"/>
        <w:adjustRightInd w:val="0"/>
        <w:rPr>
          <w:rFonts w:ascii="CharterBT-Roman" w:hAnsi="CharterBT-Roman" w:cs="CharterBT-Roman"/>
          <w:color w:val="000000" w:themeColor="text1"/>
          <w:szCs w:val="22"/>
          <w:lang w:eastAsia="en-GB" w:bidi="ar-SA"/>
        </w:rPr>
      </w:pPr>
    </w:p>
    <w:p w14:paraId="4DA491AF" w14:textId="77777777" w:rsidR="0033454E" w:rsidRPr="001279B4"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1279B4">
        <w:rPr>
          <w:rFonts w:cs="Arial"/>
          <w:color w:val="000000" w:themeColor="text1"/>
          <w:szCs w:val="22"/>
        </w:rPr>
        <w:t>The</w:t>
      </w:r>
      <w:r>
        <w:rPr>
          <w:rFonts w:cs="Arial"/>
          <w:color w:val="000000" w:themeColor="text1"/>
          <w:szCs w:val="22"/>
        </w:rPr>
        <w:t xml:space="preserve"> PAT, Barn</w:t>
      </w:r>
      <w:r w:rsidRPr="001279B4">
        <w:rPr>
          <w:rFonts w:cs="Arial"/>
          <w:color w:val="000000" w:themeColor="text1"/>
          <w:szCs w:val="22"/>
        </w:rPr>
        <w:t xml:space="preserve">ase and Barstar sequences were compared with all known putative allergen and celiac sequences residing in a reference allergen database, (FARRP version 16, released on 27 January 2016 – containing 1,956 non-redundant entries) using the FASTA (version 35.04) algorithm and BLOSUM50 scoring matrix (refer </w:t>
      </w:r>
      <w:r w:rsidRPr="004F4FDA">
        <w:rPr>
          <w:rFonts w:cs="Arial"/>
          <w:color w:val="000000" w:themeColor="text1"/>
          <w:szCs w:val="22"/>
        </w:rPr>
        <w:t>to Section 4.1.5.1).</w:t>
      </w:r>
      <w:r w:rsidRPr="001279B4">
        <w:rPr>
          <w:rFonts w:cs="Arial"/>
          <w:color w:val="000000" w:themeColor="text1"/>
          <w:szCs w:val="22"/>
        </w:rPr>
        <w:t xml:space="preserve"> </w:t>
      </w:r>
    </w:p>
    <w:p w14:paraId="3D75BF5D" w14:textId="77777777" w:rsidR="0033454E" w:rsidRPr="001279B4" w:rsidRDefault="0033454E" w:rsidP="0033454E">
      <w:pPr>
        <w:rPr>
          <w:rFonts w:cs="Arial"/>
          <w:color w:val="000000" w:themeColor="text1"/>
          <w:szCs w:val="22"/>
        </w:rPr>
      </w:pPr>
    </w:p>
    <w:p w14:paraId="1F9317A2" w14:textId="469C41B8" w:rsidR="0033454E" w:rsidRPr="001279B4" w:rsidRDefault="0033454E" w:rsidP="0033454E">
      <w:pPr>
        <w:rPr>
          <w:rFonts w:cs="Arial"/>
          <w:color w:val="000000" w:themeColor="text1"/>
          <w:szCs w:val="22"/>
        </w:rPr>
      </w:pPr>
      <w:r w:rsidRPr="001279B4">
        <w:rPr>
          <w:rFonts w:cs="Arial"/>
          <w:color w:val="000000" w:themeColor="text1"/>
          <w:szCs w:val="22"/>
        </w:rPr>
        <w:t xml:space="preserve">No </w:t>
      </w:r>
      <w:r>
        <w:rPr>
          <w:rFonts w:cs="Arial"/>
          <w:color w:val="000000" w:themeColor="text1"/>
          <w:szCs w:val="22"/>
        </w:rPr>
        <w:t xml:space="preserve">biologically relevant </w:t>
      </w:r>
      <w:r w:rsidRPr="001279B4">
        <w:rPr>
          <w:rFonts w:cs="Arial"/>
          <w:color w:val="000000" w:themeColor="text1"/>
          <w:szCs w:val="22"/>
        </w:rPr>
        <w:t xml:space="preserve">alignment for any of the three proteins met or exceeded the Codex Alimentarius </w:t>
      </w:r>
      <w:r>
        <w:rPr>
          <w:rFonts w:cs="Arial"/>
          <w:noProof/>
          <w:color w:val="000000" w:themeColor="text1"/>
          <w:szCs w:val="22"/>
        </w:rPr>
        <w:t>(Codex 2009)</w:t>
      </w:r>
      <w:r w:rsidRPr="001279B4">
        <w:rPr>
          <w:rFonts w:cs="Arial"/>
          <w:color w:val="000000" w:themeColor="text1"/>
          <w:szCs w:val="22"/>
        </w:rPr>
        <w:t xml:space="preserve"> FASTA alignment threshold for potential allergenicity (35% identity over 80 amino acids) and no alignments of eight or more consecutive identical amino acids were found between any of the proteins and known allergens in the database.</w:t>
      </w:r>
      <w:r>
        <w:rPr>
          <w:rFonts w:cs="Arial"/>
          <w:color w:val="000000" w:themeColor="text1"/>
          <w:szCs w:val="22"/>
        </w:rPr>
        <w:t xml:space="preserve"> </w:t>
      </w:r>
      <w:r w:rsidRPr="001279B4">
        <w:rPr>
          <w:rFonts w:cs="Arial"/>
          <w:color w:val="000000" w:themeColor="text1"/>
          <w:szCs w:val="22"/>
        </w:rPr>
        <w:t xml:space="preserve">For CRTI, a search was also done to compare every possible peptide of eight contiguous amino acids </w:t>
      </w:r>
      <w:r>
        <w:rPr>
          <w:rFonts w:cs="Arial"/>
          <w:noProof/>
          <w:color w:val="000000" w:themeColor="text1"/>
          <w:szCs w:val="22"/>
        </w:rPr>
        <w:t>(Metcalfe et al. 1996)</w:t>
      </w:r>
      <w:r w:rsidRPr="001279B4">
        <w:rPr>
          <w:rFonts w:cs="Arial"/>
          <w:color w:val="000000" w:themeColor="text1"/>
          <w:szCs w:val="22"/>
        </w:rPr>
        <w:t xml:space="preserve"> with the sequences in the FARRP database. No alignments were found. It was concluded that </w:t>
      </w:r>
      <w:r>
        <w:rPr>
          <w:color w:val="000000" w:themeColor="text1"/>
          <w:szCs w:val="22"/>
        </w:rPr>
        <w:t>PAT, Barnase and Barstar</w:t>
      </w:r>
      <w:r w:rsidRPr="001279B4">
        <w:rPr>
          <w:color w:val="000000" w:themeColor="text1"/>
          <w:szCs w:val="22"/>
        </w:rPr>
        <w:t xml:space="preserve"> do not</w:t>
      </w:r>
      <w:r w:rsidRPr="001279B4">
        <w:rPr>
          <w:rFonts w:cs="Arial"/>
          <w:color w:val="000000" w:themeColor="text1"/>
          <w:szCs w:val="22"/>
        </w:rPr>
        <w:t xml:space="preserve"> contain any cross-reactive IgE binding epitopes with known allergens.</w:t>
      </w:r>
    </w:p>
    <w:p w14:paraId="68FE6AD4" w14:textId="77777777" w:rsidR="0033454E" w:rsidRPr="001279B4" w:rsidRDefault="0033454E" w:rsidP="001E4C6F">
      <w:pPr>
        <w:pStyle w:val="Heading5"/>
      </w:pPr>
      <w:r w:rsidRPr="001279B4">
        <w:t>Glycosylation search</w:t>
      </w:r>
    </w:p>
    <w:p w14:paraId="79214672" w14:textId="77777777" w:rsidR="0033454E" w:rsidRPr="004F4FDA" w:rsidRDefault="0033454E" w:rsidP="0033454E">
      <w:pPr>
        <w:pStyle w:val="Signature"/>
        <w:tabs>
          <w:tab w:val="clear" w:pos="5130"/>
          <w:tab w:val="left" w:pos="851"/>
        </w:tabs>
        <w:spacing w:line="240" w:lineRule="auto"/>
        <w:ind w:left="0"/>
        <w:rPr>
          <w:rFonts w:cs="Arial"/>
          <w:color w:val="000000" w:themeColor="text1"/>
          <w:szCs w:val="22"/>
        </w:rPr>
      </w:pPr>
      <w:r w:rsidRPr="00E20A27">
        <w:rPr>
          <w:rFonts w:cs="Arial"/>
          <w:color w:val="000000" w:themeColor="text1"/>
          <w:szCs w:val="22"/>
        </w:rPr>
        <w:t xml:space="preserve">N-glycosylated proteins are glycosylated on an asparagine residue and commonly contain an asparagine-X-serine/threonine sequence (N-X~(P)-[S/T), where X~(P) indicates any amino acid except proline </w:t>
      </w:r>
      <w:r>
        <w:rPr>
          <w:rFonts w:cs="Arial"/>
          <w:noProof/>
          <w:color w:val="000000" w:themeColor="text1"/>
          <w:szCs w:val="22"/>
        </w:rPr>
        <w:t>(Orlando and Yang 1998)</w:t>
      </w:r>
      <w:r w:rsidRPr="00E20A27">
        <w:rPr>
          <w:rFonts w:cs="Arial"/>
          <w:color w:val="000000" w:themeColor="text1"/>
          <w:szCs w:val="22"/>
        </w:rPr>
        <w:t>. Although rare, the sequence asparagine-X-</w:t>
      </w:r>
      <w:r>
        <w:rPr>
          <w:rFonts w:cs="Arial"/>
          <w:color w:val="000000" w:themeColor="text1"/>
          <w:szCs w:val="22"/>
        </w:rPr>
        <w:t>c</w:t>
      </w:r>
      <w:r w:rsidRPr="00E20A27">
        <w:rPr>
          <w:rFonts w:cs="Arial"/>
          <w:color w:val="000000" w:themeColor="text1"/>
          <w:szCs w:val="22"/>
        </w:rPr>
        <w:t xml:space="preserve">ysteine (N-X-C) can also be an N-glycosylation site </w:t>
      </w:r>
      <w:r>
        <w:rPr>
          <w:rFonts w:cs="Arial"/>
          <w:noProof/>
          <w:color w:val="000000" w:themeColor="text1"/>
          <w:szCs w:val="22"/>
        </w:rPr>
        <w:t>(Miletich and Broze Jr. 1990)</w:t>
      </w:r>
      <w:r w:rsidRPr="00E20A27">
        <w:rPr>
          <w:rFonts w:cs="Arial"/>
          <w:color w:val="000000" w:themeColor="text1"/>
          <w:szCs w:val="22"/>
        </w:rPr>
        <w:t xml:space="preserve">. </w:t>
      </w:r>
      <w:r>
        <w:rPr>
          <w:rFonts w:cs="Arial"/>
          <w:color w:val="000000" w:themeColor="text1"/>
          <w:szCs w:val="22"/>
        </w:rPr>
        <w:t xml:space="preserve">Using a bioinformatics approach (FASTA and BLOSOM50 scoring matrix), these sequences in the PAT, Barnase and Barstar proteins were searched for potential N-glycosylation sites. None were identified in any of the three proteins. This confirmed the findings from the glycostaining </w:t>
      </w:r>
      <w:r w:rsidRPr="001279B4">
        <w:rPr>
          <w:rFonts w:cs="Arial"/>
          <w:color w:val="000000" w:themeColor="text1"/>
          <w:szCs w:val="22"/>
        </w:rPr>
        <w:t xml:space="preserve">analyses described </w:t>
      </w:r>
      <w:r w:rsidRPr="004F4FDA">
        <w:rPr>
          <w:rFonts w:cs="Arial"/>
          <w:color w:val="000000" w:themeColor="text1"/>
          <w:szCs w:val="22"/>
        </w:rPr>
        <w:t>in Sections 4.1.4.1 and 4.1.4.2.</w:t>
      </w:r>
    </w:p>
    <w:p w14:paraId="0C987071" w14:textId="77777777" w:rsidR="0033454E" w:rsidRPr="004F4FDA" w:rsidRDefault="0033454E" w:rsidP="0033454E">
      <w:pPr>
        <w:rPr>
          <w:rFonts w:cs="Arial"/>
          <w:color w:val="000000" w:themeColor="text1"/>
          <w:szCs w:val="22"/>
        </w:rPr>
      </w:pPr>
    </w:p>
    <w:p w14:paraId="4F1E4E2E" w14:textId="77777777" w:rsidR="0033454E" w:rsidRPr="004F4FDA" w:rsidRDefault="0033454E" w:rsidP="0033454E">
      <w:pPr>
        <w:rPr>
          <w:rFonts w:cs="Arial"/>
          <w:color w:val="000000" w:themeColor="text1"/>
          <w:szCs w:val="22"/>
        </w:rPr>
      </w:pPr>
      <w:r w:rsidRPr="004F4FDA">
        <w:rPr>
          <w:rFonts w:cs="Arial"/>
          <w:i/>
          <w:color w:val="000000" w:themeColor="text1"/>
          <w:szCs w:val="22"/>
        </w:rPr>
        <w:t>Heat stability</w:t>
      </w:r>
      <w:r w:rsidRPr="004F4FDA">
        <w:rPr>
          <w:rFonts w:cs="Arial"/>
          <w:color w:val="000000" w:themeColor="text1"/>
          <w:szCs w:val="22"/>
        </w:rPr>
        <w:t xml:space="preserve"> – see Section 4.1.5.1</w:t>
      </w:r>
    </w:p>
    <w:p w14:paraId="11560637" w14:textId="77777777" w:rsidR="0033454E" w:rsidRPr="001279B4" w:rsidRDefault="0033454E" w:rsidP="001E4C6F">
      <w:pPr>
        <w:pStyle w:val="Heading5"/>
      </w:pPr>
      <w:r w:rsidRPr="004F4FDA">
        <w:t>In vitro digestibility</w:t>
      </w:r>
    </w:p>
    <w:p w14:paraId="27393483" w14:textId="5D35BAFC" w:rsidR="0033454E" w:rsidRPr="001279B4" w:rsidRDefault="0033454E" w:rsidP="0033454E">
      <w:pPr>
        <w:rPr>
          <w:rFonts w:cs="Arial"/>
          <w:color w:val="000000" w:themeColor="text1"/>
          <w:szCs w:val="22"/>
        </w:rPr>
      </w:pPr>
      <w:r w:rsidRPr="001279B4">
        <w:rPr>
          <w:rFonts w:cs="Arial"/>
          <w:color w:val="000000" w:themeColor="text1"/>
          <w:szCs w:val="22"/>
        </w:rPr>
        <w:t xml:space="preserve">Typically, food proteins that are allergenic tend to be stable to enzymes such as pepsin and the acidic conditions of the digestive system, </w:t>
      </w:r>
      <w:r w:rsidR="00F75B45" w:rsidRPr="001279B4">
        <w:rPr>
          <w:rFonts w:cs="Arial"/>
          <w:color w:val="000000" w:themeColor="text1"/>
          <w:szCs w:val="22"/>
        </w:rPr>
        <w:t>expos</w:t>
      </w:r>
      <w:r w:rsidR="00F75B45">
        <w:rPr>
          <w:rFonts w:cs="Arial"/>
          <w:color w:val="000000" w:themeColor="text1"/>
          <w:szCs w:val="22"/>
        </w:rPr>
        <w:t>e</w:t>
      </w:r>
      <w:r w:rsidR="00F75B45" w:rsidRPr="001279B4">
        <w:rPr>
          <w:rFonts w:cs="Arial"/>
          <w:color w:val="000000" w:themeColor="text1"/>
          <w:szCs w:val="22"/>
        </w:rPr>
        <w:t xml:space="preserve"> </w:t>
      </w:r>
      <w:r w:rsidRPr="001279B4">
        <w:rPr>
          <w:rFonts w:cs="Arial"/>
          <w:color w:val="000000" w:themeColor="text1"/>
          <w:szCs w:val="22"/>
        </w:rPr>
        <w:t xml:space="preserve">them to the intestinal mucosa leading to an allergic response </w:t>
      </w:r>
      <w:r>
        <w:rPr>
          <w:rFonts w:cs="Arial"/>
          <w:noProof/>
          <w:color w:val="000000" w:themeColor="text1"/>
          <w:szCs w:val="22"/>
        </w:rPr>
        <w:t>(Astwood and Fuchs 1996; Metcalfe et al. 1996; Kimber et al. 1999)</w:t>
      </w:r>
      <w:r w:rsidRPr="001279B4">
        <w:rPr>
          <w:rFonts w:cs="Arial"/>
          <w:color w:val="000000" w:themeColor="text1"/>
          <w:szCs w:val="22"/>
        </w:rPr>
        <w:t xml:space="preserve">. Therefore some correlation exists between resistance to digestion by pepsin and potential allergenicity although it does not necessarily follow that resistance to digestion is always an indicator of an allergenic protein </w:t>
      </w:r>
      <w:r>
        <w:rPr>
          <w:rFonts w:cs="Arial"/>
          <w:noProof/>
          <w:color w:val="000000" w:themeColor="text1"/>
          <w:szCs w:val="22"/>
        </w:rPr>
        <w:t>(Thomas et al. 2004; Herman et al. 2007)</w:t>
      </w:r>
      <w:r w:rsidRPr="001279B4">
        <w:rPr>
          <w:rFonts w:cs="Arial"/>
          <w:color w:val="000000" w:themeColor="text1"/>
          <w:szCs w:val="22"/>
        </w:rPr>
        <w:t>. As a consequence, one of the criteria for assessing potential allergenicity is to examine the stability of novel proteins in conditions mimicking human digestion. Proteins that are rapidly degraded in such conditions are considered less likely to be involved in eliciting an allergic response. However, evidence of slow or limited protein digestibility does not necessarily indicate that a protein is allergenic.</w:t>
      </w:r>
    </w:p>
    <w:p w14:paraId="58A05769" w14:textId="77777777" w:rsidR="0033454E" w:rsidRDefault="0033454E" w:rsidP="0033454E">
      <w:pPr>
        <w:rPr>
          <w:rFonts w:cs="Arial"/>
          <w:color w:val="000000" w:themeColor="text1"/>
          <w:szCs w:val="22"/>
        </w:rPr>
      </w:pPr>
    </w:p>
    <w:p w14:paraId="1A463E79" w14:textId="334B585E" w:rsidR="0033454E" w:rsidRDefault="0033454E" w:rsidP="0033454E">
      <w:pPr>
        <w:rPr>
          <w:rFonts w:cs="Arial"/>
          <w:color w:val="000000" w:themeColor="text1"/>
          <w:szCs w:val="22"/>
        </w:rPr>
      </w:pPr>
      <w:r>
        <w:rPr>
          <w:rFonts w:cs="Arial"/>
          <w:color w:val="000000" w:themeColor="text1"/>
          <w:szCs w:val="22"/>
        </w:rPr>
        <w:t xml:space="preserve">For the PAT, Barnase and Barstar proteins (all purified from a bacterial system), analyses using simulated gastric fluid </w:t>
      </w:r>
      <w:r w:rsidRPr="00F72D4F">
        <w:rPr>
          <w:rFonts w:cs="Arial"/>
          <w:color w:val="000000" w:themeColor="text1"/>
          <w:szCs w:val="22"/>
        </w:rPr>
        <w:t>– SGF (containing pepsin)</w:t>
      </w:r>
      <w:r>
        <w:rPr>
          <w:rFonts w:cs="Arial"/>
          <w:color w:val="000000" w:themeColor="text1"/>
          <w:szCs w:val="22"/>
        </w:rPr>
        <w:t xml:space="preserve"> </w:t>
      </w:r>
      <w:r w:rsidR="00F97F7B">
        <w:rPr>
          <w:rFonts w:cs="Arial"/>
          <w:noProof/>
          <w:color w:val="000000" w:themeColor="text1"/>
          <w:szCs w:val="22"/>
        </w:rPr>
        <w:t xml:space="preserve">(U.S. </w:t>
      </w:r>
      <w:r>
        <w:rPr>
          <w:rFonts w:cs="Arial"/>
          <w:noProof/>
          <w:color w:val="000000" w:themeColor="text1"/>
          <w:szCs w:val="22"/>
        </w:rPr>
        <w:t>Pharmacopeia 1990)</w:t>
      </w:r>
      <w:r w:rsidRPr="00F72D4F">
        <w:rPr>
          <w:rFonts w:cs="Arial"/>
          <w:color w:val="000000" w:themeColor="text1"/>
          <w:szCs w:val="22"/>
        </w:rPr>
        <w:t xml:space="preserve"> and simulated intestinal fluid </w:t>
      </w:r>
      <w:r w:rsidR="000E72E2">
        <w:rPr>
          <w:rFonts w:cs="Arial"/>
          <w:color w:val="000000" w:themeColor="text1"/>
          <w:szCs w:val="22"/>
        </w:rPr>
        <w:t>–</w:t>
      </w:r>
      <w:r w:rsidRPr="00F72D4F">
        <w:rPr>
          <w:rFonts w:cs="Arial"/>
          <w:color w:val="000000" w:themeColor="text1"/>
          <w:szCs w:val="22"/>
        </w:rPr>
        <w:t xml:space="preserve"> SIF (containing pancreatin, a mixture</w:t>
      </w:r>
      <w:r>
        <w:rPr>
          <w:rFonts w:cs="Arial"/>
          <w:color w:val="000000" w:themeColor="text1"/>
          <w:szCs w:val="22"/>
        </w:rPr>
        <w:t xml:space="preserve"> of </w:t>
      </w:r>
      <w:r w:rsidRPr="00386A10">
        <w:rPr>
          <w:rFonts w:cs="Arial"/>
          <w:color w:val="000000" w:themeColor="text1"/>
          <w:szCs w:val="22"/>
        </w:rPr>
        <w:t>enzymes including amylase, trypsin, lipase, ribonuclease and protease</w:t>
      </w:r>
      <w:r>
        <w:rPr>
          <w:rFonts w:cs="Arial"/>
          <w:color w:val="000000" w:themeColor="text1"/>
          <w:szCs w:val="22"/>
        </w:rPr>
        <w:t xml:space="preserve">) </w:t>
      </w:r>
      <w:r w:rsidR="00F97F7B">
        <w:rPr>
          <w:rFonts w:cs="Arial"/>
          <w:noProof/>
          <w:color w:val="000000" w:themeColor="text1"/>
          <w:szCs w:val="22"/>
        </w:rPr>
        <w:t xml:space="preserve">(U.S. </w:t>
      </w:r>
      <w:r>
        <w:rPr>
          <w:rFonts w:cs="Arial"/>
          <w:noProof/>
          <w:color w:val="000000" w:themeColor="text1"/>
          <w:szCs w:val="22"/>
        </w:rPr>
        <w:t>Pharmacopeia 1990)</w:t>
      </w:r>
      <w:r>
        <w:rPr>
          <w:rFonts w:cs="Arial"/>
          <w:color w:val="000000" w:themeColor="text1"/>
          <w:szCs w:val="22"/>
        </w:rPr>
        <w:t xml:space="preserve"> were done. The</w:t>
      </w:r>
      <w:r w:rsidRPr="00386A10">
        <w:rPr>
          <w:rFonts w:cs="Arial"/>
          <w:color w:val="000000" w:themeColor="text1"/>
          <w:szCs w:val="22"/>
        </w:rPr>
        <w:t xml:space="preserve"> SIF study</w:t>
      </w:r>
      <w:r>
        <w:rPr>
          <w:rFonts w:cs="Arial"/>
          <w:color w:val="000000" w:themeColor="text1"/>
          <w:szCs w:val="22"/>
        </w:rPr>
        <w:t xml:space="preserve"> by itself may not be entirely informative</w:t>
      </w:r>
      <w:r w:rsidRPr="00386A10">
        <w:rPr>
          <w:rFonts w:cs="Arial"/>
          <w:color w:val="000000" w:themeColor="text1"/>
          <w:szCs w:val="22"/>
        </w:rPr>
        <w:t xml:space="preserve"> because ordinarily an ingested protein would first be exposed to pepsin-mediated hydrolysis in the acidic environment of the stomach before being subject to further digestion in the </w:t>
      </w:r>
      <w:r w:rsidRPr="00045A46">
        <w:rPr>
          <w:rFonts w:cs="Arial"/>
          <w:color w:val="000000" w:themeColor="text1"/>
          <w:szCs w:val="22"/>
        </w:rPr>
        <w:t xml:space="preserve">small intestine. </w:t>
      </w:r>
    </w:p>
    <w:p w14:paraId="13D76DF1" w14:textId="3F13032A" w:rsidR="00A35DB9" w:rsidRDefault="00A35DB9" w:rsidP="0033454E">
      <w:pPr>
        <w:rPr>
          <w:rFonts w:cs="Arial"/>
          <w:color w:val="000000" w:themeColor="text1"/>
          <w:szCs w:val="22"/>
        </w:rPr>
      </w:pPr>
      <w:r>
        <w:rPr>
          <w:rFonts w:cs="Arial"/>
          <w:color w:val="000000" w:themeColor="text1"/>
          <w:szCs w:val="22"/>
        </w:rPr>
        <w:br w:type="page"/>
      </w:r>
    </w:p>
    <w:p w14:paraId="4AA1830D" w14:textId="77777777" w:rsidR="0033454E" w:rsidRPr="001E4C6F" w:rsidRDefault="0033454E" w:rsidP="000E72E2">
      <w:pPr>
        <w:pStyle w:val="ListParagraph"/>
        <w:numPr>
          <w:ilvl w:val="0"/>
          <w:numId w:val="14"/>
        </w:numPr>
        <w:ind w:left="567" w:hanging="567"/>
        <w:rPr>
          <w:rFonts w:cs="Arial"/>
          <w:color w:val="000000" w:themeColor="text1"/>
          <w:szCs w:val="22"/>
        </w:rPr>
      </w:pPr>
      <w:r w:rsidRPr="001E4C6F">
        <w:rPr>
          <w:rFonts w:cs="Arial"/>
          <w:color w:val="000000" w:themeColor="text1"/>
          <w:szCs w:val="22"/>
        </w:rPr>
        <w:lastRenderedPageBreak/>
        <w:t>Simulated gastric fluid (SGF)</w:t>
      </w:r>
    </w:p>
    <w:p w14:paraId="312D7505" w14:textId="77777777" w:rsidR="0033454E" w:rsidRPr="00D1548E" w:rsidRDefault="0033454E" w:rsidP="0033454E">
      <w:pPr>
        <w:pStyle w:val="ListParagraph"/>
        <w:rPr>
          <w:rFonts w:cs="Arial"/>
          <w:color w:val="000000" w:themeColor="text1"/>
          <w:szCs w:val="22"/>
        </w:rPr>
      </w:pPr>
    </w:p>
    <w:p w14:paraId="37EF1EDA" w14:textId="77777777" w:rsidR="0033454E" w:rsidRPr="005D4038" w:rsidRDefault="0033454E" w:rsidP="0033454E">
      <w:pPr>
        <w:rPr>
          <w:rFonts w:cs="Arial"/>
          <w:color w:val="000000" w:themeColor="text1"/>
          <w:szCs w:val="22"/>
        </w:rPr>
      </w:pPr>
      <w:r w:rsidRPr="0055185A">
        <w:rPr>
          <w:rFonts w:cs="Arial"/>
          <w:color w:val="000000" w:themeColor="text1"/>
          <w:szCs w:val="22"/>
        </w:rPr>
        <w:t xml:space="preserve">A pepsin digestibility assay </w:t>
      </w:r>
      <w:r>
        <w:rPr>
          <w:rFonts w:cs="Arial"/>
          <w:noProof/>
          <w:color w:val="000000" w:themeColor="text1"/>
          <w:szCs w:val="22"/>
        </w:rPr>
        <w:t>(Thomas et al. 2004)</w:t>
      </w:r>
      <w:r>
        <w:rPr>
          <w:rFonts w:cs="Arial"/>
          <w:color w:val="000000" w:themeColor="text1"/>
          <w:szCs w:val="22"/>
        </w:rPr>
        <w:t xml:space="preserve"> was conducted.</w:t>
      </w:r>
      <w:r w:rsidRPr="0055185A">
        <w:rPr>
          <w:rFonts w:cs="Arial"/>
          <w:color w:val="000000" w:themeColor="text1"/>
          <w:szCs w:val="22"/>
        </w:rPr>
        <w:t xml:space="preserve"> The three proteins were incubated in SGF at 37º for 0, 0.5, </w:t>
      </w:r>
      <w:r w:rsidRPr="00D1548E">
        <w:rPr>
          <w:rFonts w:cs="Arial"/>
          <w:color w:val="000000" w:themeColor="text1"/>
          <w:szCs w:val="22"/>
        </w:rPr>
        <w:t>1</w:t>
      </w:r>
      <w:r>
        <w:rPr>
          <w:rFonts w:cs="Arial"/>
          <w:color w:val="000000" w:themeColor="text1"/>
          <w:szCs w:val="22"/>
        </w:rPr>
        <w:t xml:space="preserve"> (except PAT)</w:t>
      </w:r>
      <w:r w:rsidRPr="00D1548E">
        <w:rPr>
          <w:rFonts w:cs="Arial"/>
          <w:color w:val="000000" w:themeColor="text1"/>
          <w:szCs w:val="22"/>
        </w:rPr>
        <w:t>,</w:t>
      </w:r>
      <w:r w:rsidRPr="0055185A">
        <w:rPr>
          <w:rFonts w:cs="Arial"/>
          <w:color w:val="000000" w:themeColor="text1"/>
          <w:szCs w:val="22"/>
        </w:rPr>
        <w:t xml:space="preserve"> 2, 5, 10, 20, 30 and 60 minutes and then inactivated by addition of NaHCO</w:t>
      </w:r>
      <w:r w:rsidRPr="0055185A">
        <w:rPr>
          <w:rFonts w:cs="Arial"/>
          <w:color w:val="000000" w:themeColor="text1"/>
          <w:szCs w:val="22"/>
          <w:vertAlign w:val="subscript"/>
        </w:rPr>
        <w:t>3</w:t>
      </w:r>
      <w:r w:rsidRPr="0055185A">
        <w:rPr>
          <w:rFonts w:cs="Arial"/>
          <w:color w:val="000000" w:themeColor="text1"/>
          <w:szCs w:val="22"/>
        </w:rPr>
        <w:t xml:space="preserve">. The samples were then run on SDS-PAGE. Proteins were visualised by Coomassie blue staining of the resulting gels. Western blotting of the SDS </w:t>
      </w:r>
      <w:r w:rsidRPr="005D4038">
        <w:rPr>
          <w:rFonts w:cs="Arial"/>
          <w:color w:val="000000" w:themeColor="text1"/>
          <w:szCs w:val="22"/>
        </w:rPr>
        <w:t xml:space="preserve">gels was also performed using an appropriate rabbit polyclonal primary antibody and a HRP-conjugated goat anti-rabbit polyclonal secondary antibody. </w:t>
      </w:r>
    </w:p>
    <w:p w14:paraId="6B7F6975" w14:textId="77777777" w:rsidR="0033454E" w:rsidRPr="005D4038" w:rsidRDefault="0033454E" w:rsidP="0033454E">
      <w:pPr>
        <w:rPr>
          <w:rFonts w:cs="Arial"/>
          <w:color w:val="000000" w:themeColor="text1"/>
          <w:szCs w:val="22"/>
        </w:rPr>
      </w:pPr>
    </w:p>
    <w:p w14:paraId="11FDACA9" w14:textId="77777777" w:rsidR="0033454E" w:rsidRPr="00616C4C" w:rsidRDefault="0033454E" w:rsidP="00A35DB9">
      <w:pPr>
        <w:widowControl/>
        <w:autoSpaceDE w:val="0"/>
        <w:autoSpaceDN w:val="0"/>
        <w:adjustRightInd w:val="0"/>
        <w:ind w:right="-284"/>
        <w:rPr>
          <w:rFonts w:cs="Arial"/>
          <w:color w:val="000000" w:themeColor="text1"/>
          <w:szCs w:val="22"/>
          <w:lang w:eastAsia="en-GB" w:bidi="ar-SA"/>
        </w:rPr>
      </w:pPr>
      <w:r w:rsidRPr="005D4038">
        <w:rPr>
          <w:rFonts w:cs="Arial"/>
          <w:color w:val="000000" w:themeColor="text1"/>
          <w:szCs w:val="22"/>
          <w:lang w:eastAsia="en-GB" w:bidi="ar-SA"/>
        </w:rPr>
        <w:t>Following e</w:t>
      </w:r>
      <w:r>
        <w:rPr>
          <w:rFonts w:cs="Arial"/>
          <w:color w:val="000000" w:themeColor="text1"/>
          <w:szCs w:val="22"/>
          <w:lang w:eastAsia="en-GB" w:bidi="ar-SA"/>
        </w:rPr>
        <w:t>xposure to SGF</w:t>
      </w:r>
      <w:r w:rsidRPr="005D4038">
        <w:rPr>
          <w:rFonts w:cs="Arial"/>
          <w:color w:val="000000" w:themeColor="text1"/>
          <w:szCs w:val="22"/>
          <w:lang w:eastAsia="en-GB" w:bidi="ar-SA"/>
        </w:rPr>
        <w:t xml:space="preserve"> for 30 seconds, the earliest time point sampled during the digestion, more than 90% of the PAT protein had disappeared and all of the Barnase and Barstar proteins had degraded - as assessed by both SDS-PAGE and western </w:t>
      </w:r>
      <w:r w:rsidRPr="00616C4C">
        <w:rPr>
          <w:rFonts w:cs="Arial"/>
          <w:color w:val="000000" w:themeColor="text1"/>
          <w:szCs w:val="22"/>
          <w:lang w:eastAsia="en-GB" w:bidi="ar-SA"/>
        </w:rPr>
        <w:t xml:space="preserve">immunoblot analysis. </w:t>
      </w:r>
    </w:p>
    <w:p w14:paraId="4BD58C50" w14:textId="77777777" w:rsidR="0033454E" w:rsidRPr="00616C4C" w:rsidRDefault="0033454E" w:rsidP="0033454E">
      <w:pPr>
        <w:rPr>
          <w:rFonts w:cs="Arial"/>
          <w:color w:val="000000" w:themeColor="text1"/>
          <w:szCs w:val="22"/>
        </w:rPr>
      </w:pPr>
    </w:p>
    <w:p w14:paraId="5A74A663" w14:textId="77777777" w:rsidR="0033454E" w:rsidRPr="001E4C6F" w:rsidRDefault="0033454E" w:rsidP="000E72E2">
      <w:pPr>
        <w:pStyle w:val="ListParagraph"/>
        <w:numPr>
          <w:ilvl w:val="0"/>
          <w:numId w:val="14"/>
        </w:numPr>
        <w:ind w:left="567" w:hanging="567"/>
        <w:rPr>
          <w:rFonts w:cs="Arial"/>
          <w:color w:val="000000" w:themeColor="text1"/>
          <w:szCs w:val="22"/>
        </w:rPr>
      </w:pPr>
      <w:r w:rsidRPr="001E4C6F">
        <w:rPr>
          <w:rFonts w:cs="Arial"/>
          <w:color w:val="000000" w:themeColor="text1"/>
          <w:szCs w:val="22"/>
        </w:rPr>
        <w:t>Simulated intestinal fluid (SIF)</w:t>
      </w:r>
    </w:p>
    <w:p w14:paraId="48200F30" w14:textId="77777777" w:rsidR="0033454E" w:rsidRPr="00616C4C" w:rsidRDefault="0033454E" w:rsidP="0033454E">
      <w:pPr>
        <w:rPr>
          <w:rFonts w:cs="Arial"/>
          <w:color w:val="000000" w:themeColor="text1"/>
          <w:szCs w:val="22"/>
        </w:rPr>
      </w:pPr>
    </w:p>
    <w:p w14:paraId="10F37B82" w14:textId="77777777" w:rsidR="0033454E" w:rsidRPr="00616C4C" w:rsidRDefault="0033454E" w:rsidP="0033454E">
      <w:pPr>
        <w:rPr>
          <w:rFonts w:cs="Arial"/>
          <w:color w:val="000000" w:themeColor="text1"/>
          <w:szCs w:val="22"/>
        </w:rPr>
      </w:pPr>
      <w:r w:rsidRPr="00616C4C">
        <w:rPr>
          <w:rFonts w:cs="Arial"/>
          <w:color w:val="000000" w:themeColor="text1"/>
          <w:szCs w:val="22"/>
        </w:rPr>
        <w:t>The temperatures, sampling times and SDS-PAGE/western blot analyses for the SIF procedure were the same as for the SGF procedure (with the exception that there was no 1 s incubation for any of the proteins). Reactions were terminated by addition of distilled water.</w:t>
      </w:r>
    </w:p>
    <w:p w14:paraId="67D5E03F" w14:textId="77777777" w:rsidR="0033454E" w:rsidRPr="00616C4C" w:rsidRDefault="0033454E" w:rsidP="0033454E">
      <w:pPr>
        <w:rPr>
          <w:rFonts w:cs="Arial"/>
          <w:color w:val="000000" w:themeColor="text1"/>
          <w:szCs w:val="22"/>
        </w:rPr>
      </w:pPr>
    </w:p>
    <w:p w14:paraId="1308CFAB" w14:textId="77777777" w:rsidR="0033454E" w:rsidRPr="00616C4C" w:rsidRDefault="0033454E" w:rsidP="00A35DB9">
      <w:pPr>
        <w:widowControl/>
        <w:autoSpaceDE w:val="0"/>
        <w:autoSpaceDN w:val="0"/>
        <w:adjustRightInd w:val="0"/>
        <w:ind w:right="-144"/>
        <w:rPr>
          <w:rFonts w:cs="Arial"/>
          <w:color w:val="000000" w:themeColor="text1"/>
          <w:szCs w:val="22"/>
          <w:lang w:eastAsia="en-GB" w:bidi="ar-SA"/>
        </w:rPr>
      </w:pPr>
      <w:r w:rsidRPr="00616C4C">
        <w:rPr>
          <w:rFonts w:cs="Arial"/>
          <w:color w:val="000000" w:themeColor="text1"/>
          <w:szCs w:val="22"/>
          <w:lang w:eastAsia="en-GB" w:bidi="ar-SA"/>
        </w:rPr>
        <w:t>Following expos</w:t>
      </w:r>
      <w:r>
        <w:rPr>
          <w:rFonts w:cs="Arial"/>
          <w:color w:val="000000" w:themeColor="text1"/>
          <w:szCs w:val="22"/>
          <w:lang w:eastAsia="en-GB" w:bidi="ar-SA"/>
        </w:rPr>
        <w:t>ure to SIF</w:t>
      </w:r>
      <w:r w:rsidRPr="00616C4C">
        <w:rPr>
          <w:rFonts w:cs="Arial"/>
          <w:color w:val="000000" w:themeColor="text1"/>
          <w:szCs w:val="22"/>
          <w:lang w:eastAsia="en-GB" w:bidi="ar-SA"/>
        </w:rPr>
        <w:t xml:space="preserve"> for 30 seconds, the earliest time point sampled during the digestion, more than 90% of the PAT protein had disappeared</w:t>
      </w:r>
      <w:r>
        <w:rPr>
          <w:rFonts w:cs="Arial"/>
          <w:color w:val="000000" w:themeColor="text1"/>
          <w:szCs w:val="22"/>
          <w:lang w:eastAsia="en-GB" w:bidi="ar-SA"/>
        </w:rPr>
        <w:t xml:space="preserve"> </w:t>
      </w:r>
      <w:r w:rsidRPr="00616C4C">
        <w:rPr>
          <w:rFonts w:cs="Arial"/>
          <w:color w:val="000000" w:themeColor="text1"/>
          <w:szCs w:val="22"/>
          <w:lang w:eastAsia="en-GB" w:bidi="ar-SA"/>
        </w:rPr>
        <w:t xml:space="preserve">as assessed by both SDS-PAGE and western immunoblot analysis. For Barnase, </w:t>
      </w:r>
      <w:r>
        <w:rPr>
          <w:rFonts w:cs="Arial"/>
          <w:color w:val="000000" w:themeColor="text1"/>
          <w:szCs w:val="22"/>
          <w:lang w:eastAsia="en-GB" w:bidi="ar-SA"/>
        </w:rPr>
        <w:t xml:space="preserve">there was only slight change to the protein after 60 min digestion. For Barstar, </w:t>
      </w:r>
      <w:r w:rsidRPr="00616C4C">
        <w:rPr>
          <w:rFonts w:cs="Arial"/>
          <w:color w:val="000000" w:themeColor="text1"/>
          <w:szCs w:val="22"/>
          <w:lang w:eastAsia="en-GB" w:bidi="ar-SA"/>
        </w:rPr>
        <w:t>more than 90% of the prot</w:t>
      </w:r>
      <w:r>
        <w:rPr>
          <w:rFonts w:cs="Arial"/>
          <w:color w:val="000000" w:themeColor="text1"/>
          <w:szCs w:val="22"/>
          <w:lang w:eastAsia="en-GB" w:bidi="ar-SA"/>
        </w:rPr>
        <w:t>ein was digested within 10 min.</w:t>
      </w:r>
    </w:p>
    <w:p w14:paraId="5413937C" w14:textId="77777777" w:rsidR="0033454E" w:rsidRDefault="0033454E" w:rsidP="0033454E">
      <w:pPr>
        <w:rPr>
          <w:rFonts w:cs="Arial"/>
          <w:color w:val="000000" w:themeColor="text1"/>
          <w:szCs w:val="22"/>
        </w:rPr>
      </w:pPr>
    </w:p>
    <w:p w14:paraId="0E0DD703" w14:textId="77777777" w:rsidR="0033454E" w:rsidRPr="001E4C6F" w:rsidRDefault="0033454E" w:rsidP="000E72E2">
      <w:pPr>
        <w:pStyle w:val="ListParagraph"/>
        <w:numPr>
          <w:ilvl w:val="0"/>
          <w:numId w:val="14"/>
        </w:numPr>
        <w:ind w:left="567" w:hanging="567"/>
        <w:rPr>
          <w:rFonts w:cs="Arial"/>
          <w:color w:val="000000" w:themeColor="text1"/>
          <w:szCs w:val="22"/>
        </w:rPr>
      </w:pPr>
      <w:r w:rsidRPr="001E4C6F">
        <w:rPr>
          <w:rFonts w:cs="Arial"/>
          <w:color w:val="000000" w:themeColor="text1"/>
          <w:szCs w:val="22"/>
        </w:rPr>
        <w:t>Conclusion</w:t>
      </w:r>
    </w:p>
    <w:p w14:paraId="43FE5532" w14:textId="77777777" w:rsidR="0033454E" w:rsidRPr="00291F3F" w:rsidRDefault="0033454E" w:rsidP="0033454E">
      <w:pPr>
        <w:rPr>
          <w:rFonts w:cs="Arial"/>
          <w:color w:val="000000" w:themeColor="text1"/>
          <w:szCs w:val="22"/>
          <w:u w:val="single"/>
        </w:rPr>
      </w:pPr>
    </w:p>
    <w:p w14:paraId="0B1D7414" w14:textId="50D509BB"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616C4C">
        <w:rPr>
          <w:rFonts w:ascii="CharterBT-Roman" w:hAnsi="CharterBT-Roman" w:cs="CharterBT-Roman"/>
          <w:color w:val="000000" w:themeColor="text1"/>
          <w:szCs w:val="22"/>
          <w:lang w:eastAsia="en-GB" w:bidi="ar-SA"/>
        </w:rPr>
        <w:t>These results support the conclusion that the PAT, Barnase and Barstar proteins</w:t>
      </w:r>
      <w:r>
        <w:rPr>
          <w:rFonts w:ascii="CharterBT-Roman" w:hAnsi="CharterBT-Roman" w:cs="CharterBT-Roman"/>
          <w:color w:val="000000" w:themeColor="text1"/>
          <w:szCs w:val="22"/>
          <w:lang w:eastAsia="en-GB" w:bidi="ar-SA"/>
        </w:rPr>
        <w:t xml:space="preserve"> are</w:t>
      </w:r>
      <w:r w:rsidRPr="00616C4C">
        <w:rPr>
          <w:rFonts w:ascii="CharterBT-Roman" w:hAnsi="CharterBT-Roman" w:cs="CharterBT-Roman"/>
          <w:color w:val="000000" w:themeColor="text1"/>
          <w:szCs w:val="22"/>
          <w:lang w:eastAsia="en-GB" w:bidi="ar-SA"/>
        </w:rPr>
        <w:t xml:space="preserve"> readily digested </w:t>
      </w:r>
      <w:r>
        <w:rPr>
          <w:rFonts w:ascii="CharterBT-Roman" w:hAnsi="CharterBT-Roman" w:cs="CharterBT-Roman"/>
          <w:color w:val="000000" w:themeColor="text1"/>
          <w:szCs w:val="22"/>
          <w:lang w:eastAsia="en-GB" w:bidi="ar-SA"/>
        </w:rPr>
        <w:t>by pepsin under simulated gastric conditions and that PAT and Barstar are readily digested under typical mammalian intestinal conditions. Overall, the three proteins would be degraded in a mammalian digestive system.</w:t>
      </w:r>
    </w:p>
    <w:p w14:paraId="03FAE090" w14:textId="77777777" w:rsidR="0033454E" w:rsidRDefault="0033454E" w:rsidP="001E4C6F">
      <w:pPr>
        <w:pStyle w:val="Heading4"/>
      </w:pPr>
      <w:r w:rsidRPr="0048701A">
        <w:t>4.1.5.3</w:t>
      </w:r>
      <w:r w:rsidRPr="0048701A">
        <w:tab/>
        <w:t>Safety of the Barnase/Barstar complex</w:t>
      </w:r>
    </w:p>
    <w:p w14:paraId="021B9DBC" w14:textId="77777777" w:rsidR="0033454E" w:rsidRPr="004D58DA" w:rsidRDefault="0033454E" w:rsidP="0033454E">
      <w:pPr>
        <w:rPr>
          <w:rFonts w:eastAsia="PMingLiU" w:cs="Arial"/>
          <w:color w:val="000000" w:themeColor="text1"/>
          <w:szCs w:val="22"/>
        </w:rPr>
      </w:pPr>
      <w:r>
        <w:rPr>
          <w:rFonts w:eastAsia="PMingLiU" w:cs="Arial"/>
          <w:color w:val="000000" w:themeColor="text1"/>
          <w:szCs w:val="22"/>
        </w:rPr>
        <w:t xml:space="preserve">Since MS11 will be crossed with the fertility restorer line RF3, the Applicant also provided safety data (thermolability and digestibility studies) on the Barnase/Barstar complex protein (produced in </w:t>
      </w:r>
      <w:r w:rsidRPr="005E0581">
        <w:rPr>
          <w:rFonts w:eastAsia="PMingLiU" w:cs="Arial"/>
          <w:i/>
          <w:color w:val="000000" w:themeColor="text1"/>
          <w:szCs w:val="22"/>
        </w:rPr>
        <w:t>E. coli</w:t>
      </w:r>
      <w:r>
        <w:rPr>
          <w:rFonts w:eastAsia="PMingLiU" w:cs="Arial"/>
          <w:color w:val="000000" w:themeColor="text1"/>
          <w:szCs w:val="22"/>
        </w:rPr>
        <w:t xml:space="preserve">). </w:t>
      </w:r>
      <w:r w:rsidRPr="004F4FDA">
        <w:rPr>
          <w:rFonts w:eastAsia="PMingLiU" w:cs="Arial"/>
          <w:color w:val="000000" w:themeColor="text1"/>
          <w:szCs w:val="22"/>
        </w:rPr>
        <w:t>However, it is noted that in the MS11 x RF3 hybrid neither of the two proteins is expressed in seed (Table 4), the only part of the plant used for human food. Since the main food produced from canola seed is refined oil, which is unlikely to contain any protein, the overall likelihood of food for human consumption containing either protein is negligible.</w:t>
      </w:r>
    </w:p>
    <w:p w14:paraId="787EE7DF" w14:textId="77777777" w:rsidR="0033454E" w:rsidRDefault="0033454E" w:rsidP="0033454E">
      <w:pPr>
        <w:rPr>
          <w:lang w:eastAsia="en-AU" w:bidi="ar-SA"/>
        </w:rPr>
      </w:pPr>
    </w:p>
    <w:p w14:paraId="37924728" w14:textId="77777777" w:rsidR="0033454E" w:rsidRPr="0048701A"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b/>
          <w:sz w:val="20"/>
          <w:szCs w:val="20"/>
          <w:lang w:eastAsia="en-GB" w:bidi="ar-SA"/>
        </w:rPr>
      </w:pPr>
      <w:r w:rsidRPr="0048701A">
        <w:rPr>
          <w:rFonts w:ascii="ArialMT" w:hAnsi="ArialMT" w:cs="ArialMT"/>
          <w:b/>
          <w:sz w:val="20"/>
          <w:szCs w:val="20"/>
          <w:lang w:eastAsia="en-GB" w:bidi="ar-SA"/>
        </w:rPr>
        <w:t>Studies submitted</w:t>
      </w:r>
    </w:p>
    <w:p w14:paraId="01C09E94"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p>
    <w:p w14:paraId="55904D76"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The effect of temperature on microbially-produced Barnase/Barstar complex protein assessed by the Barnase quantitative activity assay and the Barstar quantitative activity assay. Unpublished Bayer Crop Science Report. Document no. M-492536-01-1.</w:t>
      </w:r>
    </w:p>
    <w:p w14:paraId="1BF87C77"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2013. The effect of temperature on microbially produced Barnase/Barstar protein - Complex assessed by SDS-PAGE and western blot. Unpublished Bayer Crop Science Report. Document no. M-549535-01-1.</w:t>
      </w:r>
    </w:p>
    <w:p w14:paraId="26CBAE7C" w14:textId="77777777" w:rsidR="0033454E"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MT" w:hAnsi="ArialMT" w:cs="ArialMT"/>
          <w:sz w:val="20"/>
          <w:szCs w:val="20"/>
          <w:lang w:eastAsia="en-GB" w:bidi="ar-SA"/>
        </w:rPr>
      </w:pPr>
      <w:r>
        <w:rPr>
          <w:rFonts w:ascii="ArialMT" w:hAnsi="ArialMT" w:cs="ArialMT"/>
          <w:sz w:val="20"/>
          <w:szCs w:val="20"/>
          <w:lang w:eastAsia="en-GB" w:bidi="ar-SA"/>
        </w:rPr>
        <w:t>2014. The effect of temperature on microbially produced Barnase/Barstar protein complex assessed by ELISA. Unpublished Bayer Crop Science Report. Document no. M-477906-01-1.</w:t>
      </w:r>
    </w:p>
    <w:p w14:paraId="6EF188EF" w14:textId="77777777" w:rsidR="0033454E" w:rsidRDefault="0033454E" w:rsidP="0033454E">
      <w:pPr>
        <w:rPr>
          <w:lang w:eastAsia="en-AU" w:bidi="ar-SA"/>
        </w:rPr>
      </w:pPr>
    </w:p>
    <w:p w14:paraId="7CD9A1D8" w14:textId="77777777" w:rsidR="00A35DB9" w:rsidRDefault="0033454E" w:rsidP="0033454E">
      <w:pPr>
        <w:widowControl/>
        <w:autoSpaceDE w:val="0"/>
        <w:autoSpaceDN w:val="0"/>
        <w:adjustRightInd w:val="0"/>
        <w:rPr>
          <w:rFonts w:cs="Arial"/>
          <w:color w:val="000000" w:themeColor="text1"/>
          <w:szCs w:val="22"/>
        </w:rPr>
      </w:pPr>
      <w:r w:rsidRPr="00A8459D">
        <w:rPr>
          <w:rFonts w:cs="Arial"/>
          <w:color w:val="000000" w:themeColor="text1"/>
          <w:szCs w:val="22"/>
        </w:rPr>
        <w:t xml:space="preserve">Heat stability was determined by measuring enzymatic activity (as described </w:t>
      </w:r>
      <w:r w:rsidRPr="004F4FDA">
        <w:rPr>
          <w:rFonts w:cs="Arial"/>
          <w:color w:val="000000" w:themeColor="text1"/>
          <w:szCs w:val="22"/>
        </w:rPr>
        <w:t>in Sections 4.1.4.1 and 4.1.4.2) after pre-incubation of the microbially-produced complex at 4</w:t>
      </w:r>
      <w:r w:rsidRPr="004F4FDA">
        <w:rPr>
          <w:rFonts w:cs="Arial"/>
          <w:color w:val="000000" w:themeColor="text1"/>
          <w:szCs w:val="22"/>
          <w:vertAlign w:val="superscript"/>
        </w:rPr>
        <w:t>o</w:t>
      </w:r>
      <w:r w:rsidRPr="004F4FDA">
        <w:rPr>
          <w:rFonts w:cs="Arial"/>
          <w:color w:val="000000" w:themeColor="text1"/>
          <w:szCs w:val="22"/>
        </w:rPr>
        <w:t xml:space="preserve"> C, 25</w:t>
      </w:r>
      <w:r w:rsidRPr="004F4FDA">
        <w:rPr>
          <w:rFonts w:cs="Arial"/>
          <w:color w:val="000000" w:themeColor="text1"/>
          <w:szCs w:val="22"/>
          <w:vertAlign w:val="superscript"/>
        </w:rPr>
        <w:t>o</w:t>
      </w:r>
      <w:r w:rsidRPr="004F4FDA">
        <w:rPr>
          <w:rFonts w:cs="Arial"/>
          <w:color w:val="000000" w:themeColor="text1"/>
          <w:szCs w:val="22"/>
        </w:rPr>
        <w:t xml:space="preserve"> C, 37</w:t>
      </w:r>
      <w:r w:rsidRPr="004F4FDA">
        <w:rPr>
          <w:rFonts w:cs="Arial"/>
          <w:color w:val="000000" w:themeColor="text1"/>
          <w:szCs w:val="22"/>
          <w:vertAlign w:val="superscript"/>
        </w:rPr>
        <w:t>o</w:t>
      </w:r>
      <w:r w:rsidRPr="004F4FDA">
        <w:rPr>
          <w:rFonts w:cs="Arial"/>
          <w:color w:val="000000" w:themeColor="text1"/>
          <w:szCs w:val="22"/>
        </w:rPr>
        <w:t xml:space="preserve"> C, 55</w:t>
      </w:r>
      <w:r w:rsidRPr="004F4FDA">
        <w:rPr>
          <w:rFonts w:cs="Arial"/>
          <w:color w:val="000000" w:themeColor="text1"/>
          <w:szCs w:val="22"/>
          <w:vertAlign w:val="superscript"/>
        </w:rPr>
        <w:t>o</w:t>
      </w:r>
      <w:r w:rsidRPr="004F4FDA">
        <w:rPr>
          <w:rFonts w:cs="Arial"/>
          <w:color w:val="000000" w:themeColor="text1"/>
          <w:szCs w:val="22"/>
        </w:rPr>
        <w:t xml:space="preserve"> C, 75</w:t>
      </w:r>
      <w:r w:rsidRPr="004F4FDA">
        <w:rPr>
          <w:rFonts w:cs="Arial"/>
          <w:color w:val="000000" w:themeColor="text1"/>
          <w:szCs w:val="22"/>
          <w:vertAlign w:val="superscript"/>
        </w:rPr>
        <w:t>o</w:t>
      </w:r>
      <w:r w:rsidRPr="004F4FDA">
        <w:rPr>
          <w:rFonts w:cs="Arial"/>
          <w:color w:val="000000" w:themeColor="text1"/>
          <w:szCs w:val="22"/>
        </w:rPr>
        <w:t xml:space="preserve"> C, 95</w:t>
      </w:r>
      <w:r w:rsidRPr="004F4FDA">
        <w:rPr>
          <w:rFonts w:cs="Arial"/>
          <w:color w:val="000000" w:themeColor="text1"/>
          <w:szCs w:val="22"/>
          <w:vertAlign w:val="superscript"/>
        </w:rPr>
        <w:t>o</w:t>
      </w:r>
      <w:r w:rsidRPr="004F4FDA">
        <w:rPr>
          <w:rFonts w:cs="Arial"/>
          <w:color w:val="000000" w:themeColor="text1"/>
          <w:szCs w:val="22"/>
        </w:rPr>
        <w:t xml:space="preserve"> C for 30 min (same conditions as for the heat stability testing of the individual proteins – Section 4.1.5.1). </w:t>
      </w:r>
      <w:r w:rsidR="00A35DB9">
        <w:rPr>
          <w:rFonts w:cs="Arial"/>
          <w:color w:val="000000" w:themeColor="text1"/>
          <w:szCs w:val="22"/>
        </w:rPr>
        <w:br w:type="page"/>
      </w:r>
    </w:p>
    <w:p w14:paraId="431F3A60" w14:textId="0ACD30E6" w:rsidR="0033454E" w:rsidRPr="00A8459D" w:rsidRDefault="0033454E" w:rsidP="0033454E">
      <w:pPr>
        <w:widowControl/>
        <w:autoSpaceDE w:val="0"/>
        <w:autoSpaceDN w:val="0"/>
        <w:adjustRightInd w:val="0"/>
        <w:rPr>
          <w:rFonts w:cs="Arial"/>
          <w:szCs w:val="22"/>
          <w:lang w:eastAsia="en-GB" w:bidi="ar-SA"/>
        </w:rPr>
      </w:pPr>
      <w:r w:rsidRPr="004F4FDA">
        <w:rPr>
          <w:rFonts w:cs="Arial"/>
          <w:szCs w:val="22"/>
          <w:lang w:eastAsia="en-GB" w:bidi="ar-SA"/>
        </w:rPr>
        <w:lastRenderedPageBreak/>
        <w:t>The residual Barnase specific activity and the residual Barstar IC</w:t>
      </w:r>
      <w:r w:rsidRPr="004F4FDA">
        <w:rPr>
          <w:rFonts w:cs="Arial"/>
          <w:szCs w:val="22"/>
          <w:vertAlign w:val="subscript"/>
          <w:lang w:eastAsia="en-GB" w:bidi="ar-SA"/>
        </w:rPr>
        <w:t>50</w:t>
      </w:r>
      <w:r w:rsidRPr="004F4FDA">
        <w:rPr>
          <w:rFonts w:cs="Arial"/>
          <w:szCs w:val="22"/>
          <w:lang w:eastAsia="en-GB" w:bidi="ar-SA"/>
        </w:rPr>
        <w:t xml:space="preserve"> of each temperature-treated sample were measured by the Barnase quantitative</w:t>
      </w:r>
      <w:r w:rsidRPr="00A8459D">
        <w:rPr>
          <w:rFonts w:cs="Arial"/>
          <w:szCs w:val="22"/>
          <w:lang w:eastAsia="en-GB" w:bidi="ar-SA"/>
        </w:rPr>
        <w:t xml:space="preserve"> activity assay and the Barstar quantitative activity assay, respectively.</w:t>
      </w:r>
    </w:p>
    <w:p w14:paraId="200F50F7" w14:textId="77777777" w:rsidR="0033454E" w:rsidRPr="00A8459D" w:rsidRDefault="0033454E" w:rsidP="0033454E">
      <w:pPr>
        <w:rPr>
          <w:rFonts w:cs="Arial"/>
          <w:szCs w:val="22"/>
          <w:lang w:eastAsia="en-AU" w:bidi="ar-SA"/>
        </w:rPr>
      </w:pPr>
    </w:p>
    <w:p w14:paraId="06A1D047" w14:textId="77777777" w:rsidR="0033454E" w:rsidRPr="004F4FDA" w:rsidRDefault="0033454E" w:rsidP="0033454E">
      <w:pPr>
        <w:rPr>
          <w:rFonts w:cs="Arial"/>
          <w:szCs w:val="22"/>
          <w:lang w:eastAsia="en-AU" w:bidi="ar-SA"/>
        </w:rPr>
      </w:pPr>
      <w:r w:rsidRPr="00A8459D">
        <w:rPr>
          <w:rFonts w:cs="Arial"/>
          <w:szCs w:val="22"/>
          <w:lang w:eastAsia="en-AU" w:bidi="ar-SA"/>
        </w:rPr>
        <w:t xml:space="preserve">As expected from the heat stability results described in </w:t>
      </w:r>
      <w:r w:rsidRPr="004F4FDA">
        <w:rPr>
          <w:rFonts w:cs="Arial"/>
          <w:szCs w:val="22"/>
          <w:lang w:eastAsia="en-AU" w:bidi="ar-SA"/>
        </w:rPr>
        <w:t>Section 4.1.5.1, the Barnase/Barstar complex showed no residual Barnase or Barstar activity at any of the incubation temperatures.</w:t>
      </w:r>
    </w:p>
    <w:p w14:paraId="08BFDE48" w14:textId="77777777" w:rsidR="0033454E" w:rsidRPr="004F4FDA" w:rsidRDefault="0033454E" w:rsidP="0033454E">
      <w:pPr>
        <w:rPr>
          <w:rFonts w:cs="Arial"/>
          <w:szCs w:val="22"/>
          <w:lang w:eastAsia="en-AU" w:bidi="ar-SA"/>
        </w:rPr>
      </w:pPr>
    </w:p>
    <w:p w14:paraId="43BF2342" w14:textId="77777777" w:rsidR="0033454E" w:rsidRPr="004F4FDA" w:rsidRDefault="0033454E" w:rsidP="0033454E">
      <w:pPr>
        <w:widowControl/>
        <w:autoSpaceDE w:val="0"/>
        <w:autoSpaceDN w:val="0"/>
        <w:adjustRightInd w:val="0"/>
        <w:rPr>
          <w:rFonts w:cs="Arial"/>
          <w:szCs w:val="22"/>
          <w:lang w:eastAsia="en-GB" w:bidi="ar-SA"/>
        </w:rPr>
      </w:pPr>
      <w:r w:rsidRPr="004F4FDA">
        <w:rPr>
          <w:rFonts w:cs="Arial"/>
          <w:szCs w:val="22"/>
          <w:lang w:eastAsia="en-AU" w:bidi="ar-SA"/>
        </w:rPr>
        <w:t xml:space="preserve">Heat stability was also determined by SDS-PAGE/western blotting and ELISA. Results from both analyses suggest that </w:t>
      </w:r>
      <w:r w:rsidRPr="004F4FDA">
        <w:rPr>
          <w:rFonts w:cs="Arial"/>
          <w:szCs w:val="22"/>
          <w:lang w:eastAsia="en-GB" w:bidi="ar-SA"/>
        </w:rPr>
        <w:t>the Barnase/Barstar protein complex is degraded and forms oligomers upon heating at 75°C and above.</w:t>
      </w:r>
    </w:p>
    <w:p w14:paraId="16B8702C" w14:textId="77777777" w:rsidR="0033454E" w:rsidRPr="004F4FDA" w:rsidRDefault="0033454E" w:rsidP="0033454E">
      <w:pPr>
        <w:widowControl/>
        <w:autoSpaceDE w:val="0"/>
        <w:autoSpaceDN w:val="0"/>
        <w:adjustRightInd w:val="0"/>
        <w:rPr>
          <w:rFonts w:cs="Arial"/>
          <w:szCs w:val="22"/>
          <w:lang w:eastAsia="en-GB" w:bidi="ar-SA"/>
        </w:rPr>
      </w:pPr>
    </w:p>
    <w:p w14:paraId="3CB40F9E" w14:textId="77777777" w:rsidR="0033454E" w:rsidRPr="00213942"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4F4FDA">
        <w:rPr>
          <w:rFonts w:cs="Arial"/>
          <w:i/>
          <w:szCs w:val="22"/>
          <w:lang w:eastAsia="en-GB" w:bidi="ar-SA"/>
        </w:rPr>
        <w:t>In vitro</w:t>
      </w:r>
      <w:r w:rsidRPr="004F4FDA">
        <w:rPr>
          <w:rFonts w:cs="Arial"/>
          <w:szCs w:val="22"/>
          <w:lang w:eastAsia="en-GB" w:bidi="ar-SA"/>
        </w:rPr>
        <w:t xml:space="preserve"> digestibility was analysed using both SGF and SIF as described in Section 4.1.5.2. </w:t>
      </w:r>
      <w:r w:rsidRPr="004F4FDA">
        <w:rPr>
          <w:sz w:val="23"/>
          <w:szCs w:val="23"/>
        </w:rPr>
        <w:t>In SIF, there was no degradation of the complex within 60 min. However, the full length recombinant Barnase/Barstar complex protein was degraded very rapidly, within</w:t>
      </w:r>
      <w:r>
        <w:rPr>
          <w:sz w:val="23"/>
          <w:szCs w:val="23"/>
        </w:rPr>
        <w:t xml:space="preserve"> 30 seconds of incubation with SGF, and by 5 min the small molecular weight residual fragments (2.5 to 3.5 kDa) were fully degraded. This indicated the Barnase/</w:t>
      </w:r>
      <w:r>
        <w:rPr>
          <w:rFonts w:ascii="CharterBT-Roman" w:hAnsi="CharterBT-Roman" w:cs="CharterBT-Roman"/>
          <w:color w:val="000000" w:themeColor="text1"/>
          <w:szCs w:val="22"/>
          <w:lang w:eastAsia="en-GB" w:bidi="ar-SA"/>
        </w:rPr>
        <w:t>Barstar complex would be readily digested in a mammalian digestive system.</w:t>
      </w:r>
    </w:p>
    <w:p w14:paraId="62C7ECC0" w14:textId="77777777" w:rsidR="0033454E" w:rsidRPr="001B5342" w:rsidRDefault="0033454E" w:rsidP="0033454E">
      <w:pPr>
        <w:pStyle w:val="Heading3"/>
      </w:pPr>
      <w:r w:rsidRPr="00616C4C">
        <w:t>4.1.6</w:t>
      </w:r>
      <w:r w:rsidRPr="00616C4C">
        <w:tab/>
        <w:t xml:space="preserve">Bioinformatic </w:t>
      </w:r>
      <w:r w:rsidRPr="001B5342">
        <w:t>analyses of potential ORFs created by the transformation procedure</w:t>
      </w:r>
    </w:p>
    <w:p w14:paraId="2AD25F1D" w14:textId="77777777" w:rsidR="0033454E" w:rsidRPr="005F7F67" w:rsidRDefault="0033454E" w:rsidP="0033454E">
      <w:pPr>
        <w:pBdr>
          <w:top w:val="single" w:sz="4" w:space="1" w:color="auto"/>
          <w:left w:val="single" w:sz="4" w:space="4" w:color="auto"/>
          <w:bottom w:val="single" w:sz="4" w:space="1" w:color="auto"/>
          <w:right w:val="single" w:sz="4" w:space="4" w:color="auto"/>
        </w:pBdr>
        <w:rPr>
          <w:b/>
          <w:color w:val="000000" w:themeColor="text1"/>
          <w:sz w:val="20"/>
          <w:szCs w:val="20"/>
        </w:rPr>
      </w:pPr>
      <w:r w:rsidRPr="004D58DA">
        <w:rPr>
          <w:b/>
          <w:color w:val="000000" w:themeColor="text1"/>
          <w:sz w:val="20"/>
          <w:szCs w:val="20"/>
        </w:rPr>
        <w:t xml:space="preserve">Study </w:t>
      </w:r>
      <w:r w:rsidRPr="005F7F67">
        <w:rPr>
          <w:b/>
          <w:color w:val="000000" w:themeColor="text1"/>
          <w:sz w:val="20"/>
          <w:szCs w:val="20"/>
        </w:rPr>
        <w:t>submitted:</w:t>
      </w:r>
    </w:p>
    <w:p w14:paraId="63979B72" w14:textId="77777777" w:rsidR="0033454E" w:rsidRPr="005F7F67" w:rsidRDefault="0033454E" w:rsidP="0033454E">
      <w:pPr>
        <w:pBdr>
          <w:top w:val="single" w:sz="4" w:space="1" w:color="auto"/>
          <w:left w:val="single" w:sz="4" w:space="4" w:color="auto"/>
          <w:bottom w:val="single" w:sz="4" w:space="1" w:color="auto"/>
          <w:right w:val="single" w:sz="4" w:space="4" w:color="auto"/>
        </w:pBdr>
        <w:tabs>
          <w:tab w:val="left" w:pos="2055"/>
        </w:tabs>
        <w:ind w:left="284" w:hanging="284"/>
        <w:rPr>
          <w:rFonts w:cs="Arial"/>
          <w:b/>
          <w:color w:val="000000" w:themeColor="text1"/>
          <w:sz w:val="20"/>
          <w:szCs w:val="20"/>
        </w:rPr>
      </w:pPr>
      <w:r w:rsidRPr="005F7F67">
        <w:rPr>
          <w:rFonts w:cs="Arial"/>
          <w:b/>
          <w:color w:val="000000" w:themeColor="text1"/>
          <w:sz w:val="20"/>
          <w:szCs w:val="20"/>
        </w:rPr>
        <w:tab/>
      </w:r>
      <w:r w:rsidRPr="005F7F67">
        <w:rPr>
          <w:rFonts w:cs="Arial"/>
          <w:b/>
          <w:color w:val="000000" w:themeColor="text1"/>
          <w:sz w:val="20"/>
          <w:szCs w:val="20"/>
        </w:rPr>
        <w:tab/>
      </w:r>
    </w:p>
    <w:p w14:paraId="4A33624B" w14:textId="77777777" w:rsidR="0033454E" w:rsidRPr="005F7F67"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eastAsia="en-GB" w:bidi="ar-SA"/>
        </w:rPr>
      </w:pPr>
      <w:r w:rsidRPr="005F7F67">
        <w:rPr>
          <w:rFonts w:cs="Arial"/>
          <w:color w:val="000000" w:themeColor="text1"/>
          <w:sz w:val="20"/>
          <w:szCs w:val="20"/>
          <w:lang w:eastAsia="en-GB" w:bidi="ar-SA"/>
        </w:rPr>
        <w:t xml:space="preserve">2016. MS11 </w:t>
      </w:r>
      <w:r w:rsidRPr="005F7F67">
        <w:rPr>
          <w:rFonts w:cs="Arial"/>
          <w:i/>
          <w:iCs/>
          <w:color w:val="000000" w:themeColor="text1"/>
          <w:sz w:val="20"/>
          <w:szCs w:val="20"/>
          <w:lang w:eastAsia="en-GB" w:bidi="ar-SA"/>
        </w:rPr>
        <w:t xml:space="preserve">Brassica napus </w:t>
      </w:r>
      <w:r w:rsidRPr="005F7F67">
        <w:rPr>
          <w:rFonts w:cs="Arial"/>
          <w:color w:val="000000" w:themeColor="text1"/>
          <w:sz w:val="20"/>
          <w:szCs w:val="20"/>
          <w:lang w:eastAsia="en-GB" w:bidi="ar-SA"/>
        </w:rPr>
        <w:t>- Identification of open reading frames (ORF) and homology search of sequences of more than 30 amino acids to known allergens and toxins. Unpublished Bayer Crop Science Report. Document no. M- 552421-01-1.</w:t>
      </w:r>
    </w:p>
    <w:p w14:paraId="304EB715" w14:textId="77777777" w:rsidR="0033454E" w:rsidRPr="005F7F67" w:rsidRDefault="0033454E" w:rsidP="0033454E">
      <w:pPr>
        <w:rPr>
          <w:rFonts w:cs="Arial"/>
          <w:color w:val="000000" w:themeColor="text1"/>
          <w:szCs w:val="22"/>
        </w:rPr>
      </w:pPr>
    </w:p>
    <w:p w14:paraId="56D26051" w14:textId="77777777" w:rsidR="0033454E" w:rsidRPr="004F4FDA" w:rsidRDefault="0033454E" w:rsidP="0033454E">
      <w:pPr>
        <w:rPr>
          <w:rFonts w:cs="Arial"/>
          <w:color w:val="000000" w:themeColor="text1"/>
          <w:szCs w:val="22"/>
        </w:rPr>
      </w:pPr>
      <w:r w:rsidRPr="005F7F67">
        <w:rPr>
          <w:rFonts w:cs="Arial"/>
          <w:color w:val="000000" w:themeColor="text1"/>
          <w:szCs w:val="22"/>
        </w:rPr>
        <w:t>Bioinformatics analyses were performed to assess the similarity to known allergens and toxins of the putative polypeptides encoded by the 107 identified ORFs in the insert and flanking regions of the MS11 transgenic locus (</w:t>
      </w:r>
      <w:r w:rsidRPr="004F4FDA">
        <w:rPr>
          <w:rFonts w:cs="Arial"/>
          <w:color w:val="000000" w:themeColor="text1"/>
          <w:szCs w:val="22"/>
        </w:rPr>
        <w:t>see Section 3.4.4).</w:t>
      </w:r>
    </w:p>
    <w:p w14:paraId="5FC5EC66" w14:textId="77777777" w:rsidR="0033454E" w:rsidRPr="004F4FDA" w:rsidRDefault="0033454E" w:rsidP="0033454E">
      <w:pPr>
        <w:rPr>
          <w:rFonts w:cs="Arial"/>
          <w:color w:val="000000" w:themeColor="text1"/>
          <w:szCs w:val="22"/>
        </w:rPr>
      </w:pPr>
    </w:p>
    <w:p w14:paraId="470AF140" w14:textId="03A4CDCF" w:rsidR="0033454E" w:rsidRPr="00056653" w:rsidRDefault="0033454E" w:rsidP="0033454E">
      <w:pPr>
        <w:rPr>
          <w:rFonts w:cs="Arial"/>
          <w:color w:val="000000" w:themeColor="text1"/>
          <w:szCs w:val="22"/>
        </w:rPr>
      </w:pPr>
      <w:r w:rsidRPr="004F4FDA">
        <w:rPr>
          <w:rFonts w:cs="Arial"/>
          <w:color w:val="000000" w:themeColor="text1"/>
          <w:szCs w:val="22"/>
        </w:rPr>
        <w:t xml:space="preserve">The bioinformatics analyses were carried out by comparing the sequences of the 107 ORFs with sequences present in the same databases as described for the toxin and allergen searches in Sections 4.1.5.1 and </w:t>
      </w:r>
      <w:r w:rsidR="00A35DB9">
        <w:rPr>
          <w:rFonts w:cs="Arial"/>
          <w:color w:val="000000" w:themeColor="text1"/>
          <w:szCs w:val="22"/>
        </w:rPr>
        <w:t>4.1.5.2</w:t>
      </w:r>
      <w:r w:rsidRPr="004F4FDA">
        <w:rPr>
          <w:rFonts w:cs="Arial"/>
          <w:color w:val="000000" w:themeColor="text1"/>
          <w:szCs w:val="22"/>
        </w:rPr>
        <w:t xml:space="preserve"> respectively</w:t>
      </w:r>
      <w:r w:rsidRPr="00056653">
        <w:rPr>
          <w:rFonts w:cs="Arial"/>
          <w:color w:val="000000" w:themeColor="text1"/>
          <w:szCs w:val="22"/>
        </w:rPr>
        <w:t>, and using the same FASTA algorithm and BLOSOM50 scoring matrix.</w:t>
      </w:r>
    </w:p>
    <w:p w14:paraId="09D6092F" w14:textId="77777777" w:rsidR="0033454E" w:rsidRPr="00056653" w:rsidRDefault="0033454E" w:rsidP="0033454E">
      <w:pPr>
        <w:rPr>
          <w:rFonts w:cs="Arial"/>
          <w:color w:val="000000" w:themeColor="text1"/>
          <w:szCs w:val="22"/>
        </w:rPr>
      </w:pPr>
    </w:p>
    <w:p w14:paraId="732AF6E2" w14:textId="77777777" w:rsidR="0033454E" w:rsidRPr="00056653" w:rsidRDefault="0033454E" w:rsidP="0033454E">
      <w:pPr>
        <w:widowControl/>
        <w:autoSpaceDE w:val="0"/>
        <w:autoSpaceDN w:val="0"/>
        <w:adjustRightInd w:val="0"/>
        <w:rPr>
          <w:rFonts w:cs="Arial"/>
          <w:color w:val="000000" w:themeColor="text1"/>
          <w:szCs w:val="22"/>
          <w:lang w:eastAsia="en-GB" w:bidi="ar-SA"/>
        </w:rPr>
      </w:pPr>
      <w:r w:rsidRPr="00056653">
        <w:rPr>
          <w:rFonts w:cs="Arial"/>
          <w:color w:val="000000" w:themeColor="text1"/>
          <w:szCs w:val="22"/>
          <w:lang w:eastAsia="en-GB" w:bidi="ar-SA"/>
        </w:rPr>
        <w:t>No biologically relevant identities were found between</w:t>
      </w:r>
      <w:r>
        <w:rPr>
          <w:rFonts w:cs="Arial"/>
          <w:color w:val="000000" w:themeColor="text1"/>
          <w:szCs w:val="22"/>
          <w:lang w:eastAsia="en-GB" w:bidi="ar-SA"/>
        </w:rPr>
        <w:t xml:space="preserve"> any of </w:t>
      </w:r>
      <w:r w:rsidRPr="00056653">
        <w:rPr>
          <w:rFonts w:cs="Arial"/>
          <w:color w:val="000000" w:themeColor="text1"/>
          <w:szCs w:val="22"/>
          <w:lang w:eastAsia="en-GB" w:bidi="ar-SA"/>
        </w:rPr>
        <w:t>the query sequences and any toxic</w:t>
      </w:r>
      <w:r>
        <w:rPr>
          <w:rFonts w:cs="Arial"/>
          <w:color w:val="000000" w:themeColor="text1"/>
          <w:szCs w:val="22"/>
          <w:lang w:eastAsia="en-GB" w:bidi="ar-SA"/>
        </w:rPr>
        <w:t xml:space="preserve"> </w:t>
      </w:r>
      <w:r w:rsidRPr="00056653">
        <w:rPr>
          <w:rFonts w:cs="Arial"/>
          <w:color w:val="000000" w:themeColor="text1"/>
          <w:szCs w:val="22"/>
          <w:lang w:eastAsia="en-GB" w:bidi="ar-SA"/>
        </w:rPr>
        <w:t>proteins from the NCBI non-redundant database.</w:t>
      </w:r>
    </w:p>
    <w:p w14:paraId="524E3FC0" w14:textId="77777777" w:rsidR="0033454E" w:rsidRPr="00056653" w:rsidRDefault="0033454E" w:rsidP="0033454E">
      <w:pPr>
        <w:widowControl/>
        <w:tabs>
          <w:tab w:val="left" w:pos="2145"/>
        </w:tabs>
        <w:autoSpaceDE w:val="0"/>
        <w:autoSpaceDN w:val="0"/>
        <w:adjustRightInd w:val="0"/>
        <w:rPr>
          <w:rFonts w:cs="Arial"/>
          <w:color w:val="000000" w:themeColor="text1"/>
          <w:szCs w:val="22"/>
          <w:lang w:eastAsia="en-GB" w:bidi="ar-SA"/>
        </w:rPr>
      </w:pPr>
    </w:p>
    <w:p w14:paraId="1EF08823" w14:textId="77777777" w:rsidR="0033454E" w:rsidRPr="00056653" w:rsidRDefault="0033454E" w:rsidP="0033454E">
      <w:pPr>
        <w:widowControl/>
        <w:autoSpaceDE w:val="0"/>
        <w:autoSpaceDN w:val="0"/>
        <w:adjustRightInd w:val="0"/>
        <w:rPr>
          <w:rFonts w:cs="Arial"/>
          <w:color w:val="000000" w:themeColor="text1"/>
          <w:szCs w:val="22"/>
          <w:lang w:eastAsia="en-GB" w:bidi="ar-SA"/>
        </w:rPr>
      </w:pPr>
      <w:r w:rsidRPr="00056653">
        <w:rPr>
          <w:rFonts w:cs="Arial"/>
          <w:color w:val="000000" w:themeColor="text1"/>
          <w:szCs w:val="22"/>
          <w:lang w:eastAsia="en-GB" w:bidi="ar-SA"/>
        </w:rPr>
        <w:t xml:space="preserve">For the allergen search, no identity matches of greater than 35% over 80 residues were observed for any of the ORFs, and no eight contiguous identical amino acid matches were observed for any ORF i.e. </w:t>
      </w:r>
      <w:r w:rsidRPr="00056653">
        <w:rPr>
          <w:rFonts w:cs="Arial"/>
          <w:color w:val="000000" w:themeColor="text1"/>
          <w:szCs w:val="22"/>
        </w:rPr>
        <w:t>none of the ORFs contain any cross-reactive IgE binding epitopes with known allergens.</w:t>
      </w:r>
    </w:p>
    <w:p w14:paraId="0CA362F6" w14:textId="77777777" w:rsidR="0033454E" w:rsidRPr="00056653" w:rsidRDefault="0033454E" w:rsidP="0033454E">
      <w:pPr>
        <w:rPr>
          <w:rFonts w:cs="Arial"/>
          <w:color w:val="000000" w:themeColor="text1"/>
          <w:szCs w:val="22"/>
        </w:rPr>
      </w:pPr>
    </w:p>
    <w:p w14:paraId="73182C57" w14:textId="77777777" w:rsidR="0033454E" w:rsidRPr="00056653" w:rsidRDefault="0033454E" w:rsidP="0033454E">
      <w:pPr>
        <w:autoSpaceDE w:val="0"/>
        <w:autoSpaceDN w:val="0"/>
        <w:adjustRightInd w:val="0"/>
        <w:rPr>
          <w:rFonts w:cs="Arial"/>
          <w:color w:val="000000" w:themeColor="text1"/>
          <w:szCs w:val="22"/>
        </w:rPr>
      </w:pPr>
      <w:r w:rsidRPr="00056653">
        <w:rPr>
          <w:rFonts w:cs="Arial"/>
          <w:color w:val="000000" w:themeColor="text1"/>
          <w:szCs w:val="22"/>
        </w:rPr>
        <w:t>It is concluded that i</w:t>
      </w:r>
      <w:r w:rsidRPr="00056653">
        <w:rPr>
          <w:rFonts w:eastAsiaTheme="minorHAnsi" w:cs="Arial"/>
          <w:color w:val="000000" w:themeColor="text1"/>
          <w:szCs w:val="22"/>
        </w:rPr>
        <w:t xml:space="preserve">n the event an unexpected translation product were to be derived from any of the 107 ORFs detected in the MS11 insert and flanking regions, these putative polypeptides are not expected to possess functional cross-reactivity with known </w:t>
      </w:r>
      <w:r w:rsidRPr="00056653">
        <w:rPr>
          <w:rFonts w:cs="Arial"/>
          <w:color w:val="000000" w:themeColor="text1"/>
          <w:szCs w:val="22"/>
        </w:rPr>
        <w:t>allergenic proteins or be toxic.</w:t>
      </w:r>
    </w:p>
    <w:p w14:paraId="0169EF8F" w14:textId="77777777" w:rsidR="0033454E" w:rsidRPr="00056653" w:rsidRDefault="0033454E" w:rsidP="0033454E">
      <w:pPr>
        <w:pStyle w:val="Heading3"/>
      </w:pPr>
      <w:r w:rsidRPr="00056653">
        <w:t>4.1.7</w:t>
      </w:r>
      <w:r w:rsidRPr="00056653">
        <w:tab/>
        <w:t>Conclusion</w:t>
      </w:r>
    </w:p>
    <w:p w14:paraId="5817EE48" w14:textId="77777777" w:rsidR="0033454E" w:rsidRPr="00CA20B3" w:rsidRDefault="0033454E" w:rsidP="0033454E">
      <w:pPr>
        <w:pStyle w:val="BodyText"/>
        <w:rPr>
          <w:rFonts w:cs="Arial"/>
          <w:color w:val="000000" w:themeColor="text1"/>
          <w:szCs w:val="22"/>
        </w:rPr>
      </w:pPr>
      <w:r w:rsidRPr="00CA20B3">
        <w:rPr>
          <w:rFonts w:eastAsia="Batang" w:cs="Arial"/>
          <w:color w:val="000000" w:themeColor="text1"/>
          <w:szCs w:val="22"/>
        </w:rPr>
        <w:t>MS11 expresses three novel proteins, PAT, Barnase and Barstar.</w:t>
      </w:r>
    </w:p>
    <w:p w14:paraId="58FF86C5" w14:textId="77777777" w:rsidR="00A35DB9" w:rsidRDefault="00A35DB9" w:rsidP="0033454E">
      <w:pPr>
        <w:widowControl/>
        <w:autoSpaceDE w:val="0"/>
        <w:autoSpaceDN w:val="0"/>
        <w:adjustRightInd w:val="0"/>
        <w:rPr>
          <w:rFonts w:ascii="CharterBT-Roman" w:hAnsi="CharterBT-Roman" w:cs="CharterBT-Roman"/>
          <w:color w:val="000000" w:themeColor="text1"/>
          <w:szCs w:val="22"/>
          <w:lang w:eastAsia="en-GB" w:bidi="ar-SA"/>
        </w:rPr>
      </w:pPr>
      <w:r>
        <w:rPr>
          <w:rFonts w:ascii="CharterBT-Roman" w:hAnsi="CharterBT-Roman" w:cs="CharterBT-Roman"/>
          <w:color w:val="000000" w:themeColor="text1"/>
          <w:szCs w:val="22"/>
          <w:lang w:eastAsia="en-GB" w:bidi="ar-SA"/>
        </w:rPr>
        <w:br w:type="page"/>
      </w:r>
    </w:p>
    <w:p w14:paraId="291D15E1" w14:textId="02F70175"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CA20B3">
        <w:rPr>
          <w:rFonts w:ascii="CharterBT-Roman" w:hAnsi="CharterBT-Roman" w:cs="CharterBT-Roman"/>
          <w:color w:val="000000" w:themeColor="text1"/>
          <w:szCs w:val="22"/>
          <w:lang w:eastAsia="en-GB" w:bidi="ar-SA"/>
        </w:rPr>
        <w:lastRenderedPageBreak/>
        <w:t>Mean levels of all proteins in the edible part (i.e. seed) were below or close to the LOQ. The mean level of PAT protein was highest in whole plants sampled at the 3 – 5 leaf stage, while lowest values were obtained in</w:t>
      </w:r>
      <w:r>
        <w:rPr>
          <w:rFonts w:ascii="CharterBT-Roman" w:hAnsi="CharterBT-Roman" w:cs="CharterBT-Roman"/>
          <w:color w:val="000000" w:themeColor="text1"/>
          <w:szCs w:val="22"/>
          <w:lang w:eastAsia="en-GB" w:bidi="ar-SA"/>
        </w:rPr>
        <w:t xml:space="preserve"> root and seed samples</w:t>
      </w:r>
      <w:r w:rsidRPr="00CA20B3">
        <w:rPr>
          <w:rFonts w:ascii="CharterBT-Roman" w:hAnsi="CharterBT-Roman" w:cs="CharterBT-Roman"/>
          <w:color w:val="000000" w:themeColor="text1"/>
          <w:szCs w:val="22"/>
          <w:lang w:eastAsia="en-GB" w:bidi="ar-SA"/>
        </w:rPr>
        <w:t>. The Barnase protein was below the LOQ in all samples tested. Levels of Barstar in all tissues were either be</w:t>
      </w:r>
      <w:r>
        <w:rPr>
          <w:rFonts w:ascii="CharterBT-Roman" w:hAnsi="CharterBT-Roman" w:cs="CharterBT-Roman"/>
          <w:color w:val="000000" w:themeColor="text1"/>
          <w:szCs w:val="22"/>
          <w:lang w:eastAsia="en-GB" w:bidi="ar-SA"/>
        </w:rPr>
        <w:t>low the LOQ or very low; r</w:t>
      </w:r>
      <w:r w:rsidRPr="00CA20B3">
        <w:rPr>
          <w:rFonts w:ascii="CharterBT-Roman" w:hAnsi="CharterBT-Roman" w:cs="CharterBT-Roman"/>
          <w:color w:val="000000" w:themeColor="text1"/>
          <w:szCs w:val="22"/>
          <w:lang w:eastAsia="en-GB" w:bidi="ar-SA"/>
        </w:rPr>
        <w:t>oots marginally appeared to have the highest mean level.</w:t>
      </w:r>
    </w:p>
    <w:p w14:paraId="5BDD0FE2" w14:textId="77777777"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4AB74551" w14:textId="77777777" w:rsidR="0033454E" w:rsidRPr="00CA20B3" w:rsidRDefault="0033454E" w:rsidP="0033454E">
      <w:pPr>
        <w:rPr>
          <w:rFonts w:cs="Arial"/>
          <w:color w:val="000000" w:themeColor="text1"/>
          <w:szCs w:val="22"/>
          <w:lang w:val="en-US"/>
        </w:rPr>
      </w:pPr>
      <w:r w:rsidRPr="00CA20B3">
        <w:rPr>
          <w:rFonts w:cs="Arial"/>
          <w:color w:val="000000" w:themeColor="text1"/>
          <w:szCs w:val="22"/>
          <w:lang w:val="en-US"/>
        </w:rPr>
        <w:t xml:space="preserve">A number of studies were used </w:t>
      </w:r>
      <w:r w:rsidRPr="00CA20B3">
        <w:rPr>
          <w:rFonts w:cs="Arial"/>
          <w:color w:val="000000" w:themeColor="text1"/>
          <w:szCs w:val="22"/>
        </w:rPr>
        <w:t xml:space="preserve">to confirm the identity and physicochemical properties of the plant-derived PAT protein. These studies </w:t>
      </w:r>
      <w:r w:rsidRPr="00CA20B3">
        <w:rPr>
          <w:rFonts w:cs="Arial"/>
          <w:color w:val="000000" w:themeColor="text1"/>
          <w:szCs w:val="22"/>
          <w:lang w:val="en-US"/>
        </w:rPr>
        <w:t>demonstrated that the protein conforms in size, amino acid sequence and activity to that expected, and does not exhibit any post-translational modification including glycosylation.</w:t>
      </w:r>
    </w:p>
    <w:p w14:paraId="73EB03B2" w14:textId="77777777" w:rsidR="0033454E" w:rsidRPr="00CA20B3"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19F9CA9D" w14:textId="77777777" w:rsidR="0033454E" w:rsidRPr="00CA20B3" w:rsidRDefault="0033454E" w:rsidP="0033454E">
      <w:pPr>
        <w:pStyle w:val="BodyText"/>
        <w:spacing w:after="0"/>
        <w:rPr>
          <w:rFonts w:cs="Arial"/>
          <w:color w:val="000000" w:themeColor="text1"/>
          <w:szCs w:val="22"/>
        </w:rPr>
      </w:pPr>
      <w:r w:rsidRPr="00CA20B3">
        <w:rPr>
          <w:rFonts w:cs="Arial"/>
          <w:color w:val="000000" w:themeColor="text1"/>
          <w:szCs w:val="22"/>
        </w:rPr>
        <w:t>Very low yields of the plant-produced Barnase and Barstar proteins precluded their specific characterisation. However the weight of evidence, provided by a) translation of the known DNA sequences of the two genes introduced into MS11, b) the fact that the proteins fun</w:t>
      </w:r>
      <w:r>
        <w:rPr>
          <w:rFonts w:cs="Arial"/>
          <w:color w:val="000000" w:themeColor="text1"/>
          <w:szCs w:val="22"/>
        </w:rPr>
        <w:t>ction as predicted</w:t>
      </w:r>
      <w:r w:rsidRPr="00CA20B3">
        <w:rPr>
          <w:rFonts w:cs="Arial"/>
          <w:color w:val="000000" w:themeColor="text1"/>
          <w:szCs w:val="22"/>
        </w:rPr>
        <w:t xml:space="preserve"> and c) the detailed characterisation of equivalent microbially-produced proteins is sufficient to confirm the identity of the proteins expressed in MS11.</w:t>
      </w:r>
    </w:p>
    <w:p w14:paraId="1EDEA1C2" w14:textId="77777777" w:rsidR="0033454E" w:rsidRPr="00CA20B3" w:rsidRDefault="0033454E" w:rsidP="0033454E">
      <w:pPr>
        <w:pStyle w:val="BodyText"/>
        <w:spacing w:after="0"/>
        <w:rPr>
          <w:rFonts w:cs="Arial"/>
          <w:color w:val="000000" w:themeColor="text1"/>
          <w:szCs w:val="22"/>
        </w:rPr>
      </w:pPr>
    </w:p>
    <w:p w14:paraId="5DF05635" w14:textId="77777777" w:rsidR="0033454E" w:rsidRPr="00CA20B3" w:rsidRDefault="0033454E" w:rsidP="0033454E">
      <w:pPr>
        <w:pStyle w:val="BodyText"/>
        <w:spacing w:after="0"/>
        <w:rPr>
          <w:rFonts w:cs="Arial"/>
          <w:color w:val="000000" w:themeColor="text1"/>
          <w:szCs w:val="22"/>
        </w:rPr>
      </w:pPr>
      <w:r w:rsidRPr="00CA20B3">
        <w:rPr>
          <w:rFonts w:cs="Arial"/>
          <w:color w:val="000000" w:themeColor="text1"/>
          <w:szCs w:val="22"/>
        </w:rPr>
        <w:t>For all three proteins, bioinformatic studies confirmed the lack of any significant amino acid sequence similarity to know protein toxins or allergens; digestibility studies suggest the proteins would be rapidly degraded in the gastro-intestinal tract following ingestion; and thermolability studies indicate the three proteins are functionally inactivated following heating.</w:t>
      </w:r>
    </w:p>
    <w:p w14:paraId="68281B13" w14:textId="77777777" w:rsidR="0033454E" w:rsidRPr="00CA20B3" w:rsidRDefault="0033454E" w:rsidP="0033454E">
      <w:pPr>
        <w:rPr>
          <w:rFonts w:cs="Arial"/>
          <w:color w:val="000000" w:themeColor="text1"/>
          <w:szCs w:val="22"/>
        </w:rPr>
      </w:pPr>
    </w:p>
    <w:p w14:paraId="65A3905A" w14:textId="77777777" w:rsidR="0033454E" w:rsidRPr="00CA20B3" w:rsidRDefault="0033454E" w:rsidP="0033454E">
      <w:pPr>
        <w:rPr>
          <w:rFonts w:cs="Arial"/>
          <w:color w:val="000000" w:themeColor="text1"/>
          <w:szCs w:val="22"/>
        </w:rPr>
      </w:pPr>
      <w:r w:rsidRPr="00CA20B3">
        <w:rPr>
          <w:rFonts w:cs="Arial"/>
          <w:color w:val="000000" w:themeColor="text1"/>
          <w:szCs w:val="22"/>
        </w:rPr>
        <w:t>Taken together, the evidence indicates that should PAT, Barnase or Barstar be present in the diet they are unlikely to be toxic or allergenic in humans.</w:t>
      </w:r>
    </w:p>
    <w:p w14:paraId="4EE5AE7A" w14:textId="77777777" w:rsidR="0033454E" w:rsidRPr="00CA20B3" w:rsidRDefault="0033454E" w:rsidP="0033454E">
      <w:pPr>
        <w:pStyle w:val="Heading2"/>
        <w:rPr>
          <w:color w:val="000000" w:themeColor="text1"/>
        </w:rPr>
      </w:pPr>
      <w:bookmarkStart w:id="35" w:name="_Toc481491436"/>
      <w:r>
        <w:rPr>
          <w:color w:val="000000" w:themeColor="text1"/>
        </w:rPr>
        <w:t>4.2</w:t>
      </w:r>
      <w:r w:rsidRPr="00CA20B3">
        <w:rPr>
          <w:color w:val="000000" w:themeColor="text1"/>
        </w:rPr>
        <w:tab/>
        <w:t>Herbicide metabolites</w:t>
      </w:r>
      <w:bookmarkEnd w:id="35"/>
    </w:p>
    <w:p w14:paraId="5C6359BB" w14:textId="77777777" w:rsidR="0033454E" w:rsidRPr="00FB0C43" w:rsidRDefault="0033454E" w:rsidP="0033454E">
      <w:pPr>
        <w:rPr>
          <w:color w:val="000000" w:themeColor="text1"/>
        </w:rPr>
      </w:pPr>
      <w:r w:rsidRPr="00E56E95">
        <w:rPr>
          <w:color w:val="000000" w:themeColor="text1"/>
          <w:szCs w:val="22"/>
        </w:rPr>
        <w:t xml:space="preserve">For GM foods derived from crops that are herbicide tolerant, there are two issues that require consideration. The first is dealt with in this safety assessment and involves assessment of any </w:t>
      </w:r>
      <w:r w:rsidRPr="00E56E95">
        <w:rPr>
          <w:color w:val="000000" w:themeColor="text1"/>
        </w:rPr>
        <w:t xml:space="preserve">novel metabolites that are produced after </w:t>
      </w:r>
      <w:r w:rsidRPr="0030698B">
        <w:rPr>
          <w:color w:val="000000" w:themeColor="text1"/>
        </w:rPr>
        <w:t xml:space="preserve">the herbicide is applied, to determine whether these are present in the final food and whether their presence raises any toxicological concerns. In particular, the assessment considers whether appropriate health-based guidance values (i.e. Acceptable Daily </w:t>
      </w:r>
      <w:r w:rsidRPr="00FB0C43">
        <w:rPr>
          <w:color w:val="000000" w:themeColor="text1"/>
        </w:rPr>
        <w:t>Intake [ADI] or Acute Reference Dose [ARfD]) need to be established.</w:t>
      </w:r>
    </w:p>
    <w:p w14:paraId="6A764BD9" w14:textId="77777777" w:rsidR="0033454E" w:rsidRPr="00FB0C43" w:rsidRDefault="0033454E" w:rsidP="0033454E">
      <w:pPr>
        <w:rPr>
          <w:color w:val="000000" w:themeColor="text1"/>
        </w:rPr>
      </w:pPr>
    </w:p>
    <w:p w14:paraId="5748B9C5" w14:textId="56D9ADD2" w:rsidR="0033454E" w:rsidRDefault="0033454E" w:rsidP="0033454E">
      <w:pPr>
        <w:pStyle w:val="Default"/>
        <w:rPr>
          <w:rFonts w:cs="TimesNewRoman"/>
          <w:color w:val="000000" w:themeColor="text1"/>
        </w:rPr>
      </w:pPr>
      <w:r w:rsidRPr="00FB0C43">
        <w:rPr>
          <w:color w:val="000000" w:themeColor="text1"/>
          <w:sz w:val="22"/>
          <w:szCs w:val="22"/>
        </w:rPr>
        <w:t xml:space="preserve">The second consideration, which is separate from the GM food approval process and therefore not included as part of this safety assessment, relates to the presence of herbicide residues on the food. Any food products (whether derived from GM or non-GM sources) sold in both Australia and New Zealand must not have residue levels greater than the relevant </w:t>
      </w:r>
      <w:hyperlink r:id="rId32" w:history="1">
        <w:r w:rsidRPr="00856B41">
          <w:rPr>
            <w:rStyle w:val="Hyperlink"/>
            <w:sz w:val="22"/>
            <w:szCs w:val="22"/>
          </w:rPr>
          <w:t>maximum residue limit</w:t>
        </w:r>
      </w:hyperlink>
      <w:r w:rsidR="00856B41">
        <w:rPr>
          <w:rStyle w:val="FootnoteReference"/>
          <w:color w:val="000000" w:themeColor="text1"/>
          <w:sz w:val="22"/>
          <w:szCs w:val="22"/>
        </w:rPr>
        <w:footnoteReference w:id="18"/>
      </w:r>
      <w:r w:rsidRPr="00FB0C43">
        <w:rPr>
          <w:color w:val="000000" w:themeColor="text1"/>
          <w:sz w:val="22"/>
          <w:szCs w:val="22"/>
        </w:rPr>
        <w:t xml:space="preserve"> (MRL). Where necessary,</w:t>
      </w:r>
      <w:r w:rsidRPr="00F72D4F">
        <w:rPr>
          <w:color w:val="000000" w:themeColor="text1"/>
          <w:sz w:val="22"/>
          <w:szCs w:val="22"/>
        </w:rPr>
        <w:t xml:space="preserve"> an MRL</w:t>
      </w:r>
      <w:r w:rsidRPr="0030698B">
        <w:rPr>
          <w:color w:val="000000" w:themeColor="text1"/>
          <w:sz w:val="22"/>
          <w:szCs w:val="22"/>
        </w:rPr>
        <w:t xml:space="preserve"> may have to be set</w:t>
      </w:r>
      <w:r w:rsidRPr="0030698B">
        <w:rPr>
          <w:rFonts w:cs="TimesNewRoman"/>
          <w:color w:val="000000" w:themeColor="text1"/>
        </w:rPr>
        <w:t xml:space="preserve">. </w:t>
      </w:r>
    </w:p>
    <w:p w14:paraId="1C0B90A9" w14:textId="77777777" w:rsidR="0033454E" w:rsidRDefault="0033454E" w:rsidP="0033454E">
      <w:pPr>
        <w:pStyle w:val="Default"/>
        <w:rPr>
          <w:rFonts w:cs="TimesNewRoman"/>
          <w:color w:val="000000" w:themeColor="text1"/>
        </w:rPr>
      </w:pPr>
    </w:p>
    <w:p w14:paraId="02B971EC" w14:textId="77777777" w:rsidR="0033454E" w:rsidRPr="00BC1EE8" w:rsidRDefault="0033454E" w:rsidP="0033454E">
      <w:pPr>
        <w:autoSpaceDE w:val="0"/>
        <w:autoSpaceDN w:val="0"/>
        <w:adjustRightInd w:val="0"/>
        <w:rPr>
          <w:rFonts w:cs="Arial"/>
          <w:color w:val="000000" w:themeColor="text1"/>
          <w:szCs w:val="22"/>
        </w:rPr>
      </w:pPr>
      <w:r w:rsidRPr="00D82794">
        <w:rPr>
          <w:rFonts w:cs="Arial"/>
          <w:color w:val="000000" w:themeColor="text1"/>
          <w:szCs w:val="22"/>
        </w:rPr>
        <w:t xml:space="preserve">In the case of PAT, the metabolic profiles resulting from the novel protein x herbicide interaction have been established through a significant history of use. </w:t>
      </w:r>
      <w:r>
        <w:rPr>
          <w:rFonts w:cs="Arial"/>
          <w:color w:val="000000" w:themeColor="text1"/>
          <w:szCs w:val="22"/>
        </w:rPr>
        <w:t xml:space="preserve">The glufosinate-tolerance trait is present in lines </w:t>
      </w:r>
      <w:r w:rsidRPr="00CA20B3">
        <w:rPr>
          <w:rFonts w:cs="Arial"/>
          <w:color w:val="000000" w:themeColor="text1"/>
          <w:szCs w:val="22"/>
        </w:rPr>
        <w:t>from 22</w:t>
      </w:r>
      <w:r w:rsidRPr="007950C1">
        <w:rPr>
          <w:rFonts w:cs="Arial"/>
          <w:color w:val="000000" w:themeColor="text1"/>
          <w:szCs w:val="22"/>
        </w:rPr>
        <w:t xml:space="preserve"> previous</w:t>
      </w:r>
      <w:r>
        <w:rPr>
          <w:rFonts w:cs="Arial"/>
          <w:color w:val="000000" w:themeColor="text1"/>
          <w:szCs w:val="22"/>
        </w:rPr>
        <w:t xml:space="preserve"> applications to FSANZ</w:t>
      </w:r>
      <w:r w:rsidRPr="008C5A0D">
        <w:rPr>
          <w:rFonts w:cs="Arial"/>
          <w:color w:val="000000" w:themeColor="text1"/>
          <w:szCs w:val="22"/>
        </w:rPr>
        <w:t>. The</w:t>
      </w:r>
      <w:r>
        <w:rPr>
          <w:rFonts w:cs="Arial"/>
          <w:color w:val="000000" w:themeColor="text1"/>
          <w:szCs w:val="22"/>
        </w:rPr>
        <w:t xml:space="preserve"> enzyme activity of PAT results in the acetylation of the free amino group of glufosinate to produce the non-herbicidal N-acetyl glufosinate. This is a well-known metabolite in glufosinate-tolerant plants and was previously considered in detail by FSANZ in cotton line LL25 </w:t>
      </w:r>
      <w:r>
        <w:rPr>
          <w:rFonts w:cs="Arial"/>
          <w:noProof/>
          <w:color w:val="000000" w:themeColor="text1"/>
          <w:szCs w:val="22"/>
        </w:rPr>
        <w:t>(FSANZ 2006)</w:t>
      </w:r>
      <w:r w:rsidRPr="00A9173E">
        <w:rPr>
          <w:rFonts w:cs="Arial"/>
          <w:color w:val="000000" w:themeColor="text1"/>
          <w:szCs w:val="22"/>
        </w:rPr>
        <w:t>.</w:t>
      </w:r>
      <w:r>
        <w:rPr>
          <w:rFonts w:cs="Arial"/>
          <w:color w:val="000000" w:themeColor="text1"/>
          <w:szCs w:val="22"/>
        </w:rPr>
        <w:t xml:space="preserve">  </w:t>
      </w:r>
      <w:r w:rsidRPr="00D82794">
        <w:rPr>
          <w:rFonts w:cs="Arial"/>
          <w:color w:val="000000" w:themeColor="text1"/>
          <w:szCs w:val="22"/>
        </w:rPr>
        <w:t>There are no concerns that</w:t>
      </w:r>
      <w:r>
        <w:rPr>
          <w:rFonts w:cs="Arial"/>
          <w:color w:val="000000" w:themeColor="text1"/>
          <w:szCs w:val="22"/>
        </w:rPr>
        <w:t xml:space="preserve"> the spraying of MS11</w:t>
      </w:r>
      <w:r w:rsidRPr="00D82794">
        <w:rPr>
          <w:rFonts w:cs="Arial"/>
          <w:color w:val="000000" w:themeColor="text1"/>
          <w:szCs w:val="22"/>
        </w:rPr>
        <w:t xml:space="preserve"> with glufosinate ammonium would result in the </w:t>
      </w:r>
      <w:r w:rsidRPr="00BC1EE8">
        <w:rPr>
          <w:rFonts w:cs="Arial"/>
          <w:color w:val="000000" w:themeColor="text1"/>
          <w:szCs w:val="22"/>
        </w:rPr>
        <w:t>production of metabolites that are not also produced in crops sprayed with the same herbi</w:t>
      </w:r>
      <w:r>
        <w:rPr>
          <w:rFonts w:cs="Arial"/>
          <w:color w:val="000000" w:themeColor="text1"/>
          <w:szCs w:val="22"/>
        </w:rPr>
        <w:t>cide</w:t>
      </w:r>
      <w:r w:rsidRPr="00BC1EE8">
        <w:rPr>
          <w:rFonts w:cs="Arial"/>
          <w:color w:val="000000" w:themeColor="text1"/>
          <w:szCs w:val="22"/>
        </w:rPr>
        <w:t xml:space="preserve"> and already used in the food supply.</w:t>
      </w:r>
    </w:p>
    <w:p w14:paraId="1F542C00" w14:textId="377AD2C3" w:rsidR="00A35DB9" w:rsidRDefault="00A35DB9" w:rsidP="0033454E">
      <w:pPr>
        <w:pStyle w:val="Default"/>
        <w:rPr>
          <w:rFonts w:cs="TimesNewRoman"/>
          <w:color w:val="000000" w:themeColor="text1"/>
        </w:rPr>
      </w:pPr>
      <w:r>
        <w:rPr>
          <w:rFonts w:cs="TimesNewRoman"/>
          <w:color w:val="000000" w:themeColor="text1"/>
        </w:rPr>
        <w:br w:type="page"/>
      </w:r>
    </w:p>
    <w:p w14:paraId="7B28B77E" w14:textId="77777777" w:rsidR="0033454E" w:rsidRPr="002811B4" w:rsidRDefault="0033454E" w:rsidP="0033454E">
      <w:pPr>
        <w:pStyle w:val="Heading1"/>
        <w:ind w:left="0" w:firstLine="0"/>
        <w:rPr>
          <w:color w:val="000000" w:themeColor="text1"/>
        </w:rPr>
      </w:pPr>
      <w:bookmarkStart w:id="36" w:name="_Toc481491437"/>
      <w:r>
        <w:rPr>
          <w:color w:val="000000" w:themeColor="text1"/>
        </w:rPr>
        <w:lastRenderedPageBreak/>
        <w:t>5</w:t>
      </w:r>
      <w:r w:rsidRPr="002811B4">
        <w:rPr>
          <w:color w:val="000000" w:themeColor="text1"/>
        </w:rPr>
        <w:tab/>
        <w:t>Compositional analyses</w:t>
      </w:r>
      <w:bookmarkEnd w:id="36"/>
    </w:p>
    <w:p w14:paraId="64145628" w14:textId="77777777" w:rsidR="0033454E" w:rsidRPr="002811B4" w:rsidRDefault="0033454E" w:rsidP="0033454E">
      <w:pPr>
        <w:autoSpaceDE w:val="0"/>
        <w:autoSpaceDN w:val="0"/>
        <w:adjustRightInd w:val="0"/>
        <w:rPr>
          <w:color w:val="000000" w:themeColor="text1"/>
        </w:rPr>
      </w:pPr>
      <w:r w:rsidRPr="002811B4">
        <w:rPr>
          <w:color w:val="000000" w:themeColor="text1"/>
        </w:rPr>
        <w:t>The main purpose of compositional analyses is to determine if, as a result of the genetic modification, any unexpected changes have occurred to the food. These changes could take the form of alterations in the composition of the plant and its tissues and thus its nutritional adequacy. Compositional analyses can also be important for evaluating the intended effect where there has been a deliberate change to the composition of the food.</w:t>
      </w:r>
    </w:p>
    <w:p w14:paraId="7B3A2042" w14:textId="77777777" w:rsidR="0033454E" w:rsidRPr="002811B4" w:rsidRDefault="0033454E" w:rsidP="0033454E">
      <w:pPr>
        <w:autoSpaceDE w:val="0"/>
        <w:autoSpaceDN w:val="0"/>
        <w:adjustRightInd w:val="0"/>
        <w:rPr>
          <w:color w:val="000000" w:themeColor="text1"/>
        </w:rPr>
      </w:pPr>
    </w:p>
    <w:p w14:paraId="7FF47B1C" w14:textId="77777777" w:rsidR="0033454E" w:rsidRPr="002811B4" w:rsidRDefault="0033454E" w:rsidP="0033454E">
      <w:pPr>
        <w:autoSpaceDE w:val="0"/>
        <w:autoSpaceDN w:val="0"/>
        <w:adjustRightInd w:val="0"/>
        <w:rPr>
          <w:color w:val="000000" w:themeColor="text1"/>
        </w:rPr>
      </w:pPr>
      <w:r w:rsidRPr="002811B4">
        <w:rPr>
          <w:color w:val="000000" w:themeColor="text1"/>
        </w:rPr>
        <w:t>The classic approach to the compositional analyses of GM food is a targeted one. Rather than analysing every possible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glycoalkaloids in potatoes).</w:t>
      </w:r>
    </w:p>
    <w:p w14:paraId="6123DA08" w14:textId="77777777" w:rsidR="0033454E" w:rsidRPr="00A86EE3" w:rsidRDefault="0033454E" w:rsidP="0033454E">
      <w:pPr>
        <w:pStyle w:val="Heading2"/>
        <w:rPr>
          <w:color w:val="000000" w:themeColor="text1"/>
        </w:rPr>
      </w:pPr>
      <w:bookmarkStart w:id="37" w:name="_Toc481491438"/>
      <w:r>
        <w:rPr>
          <w:color w:val="000000" w:themeColor="text1"/>
        </w:rPr>
        <w:t>5</w:t>
      </w:r>
      <w:r w:rsidRPr="00A86EE3">
        <w:rPr>
          <w:color w:val="000000" w:themeColor="text1"/>
        </w:rPr>
        <w:t>.1</w:t>
      </w:r>
      <w:r w:rsidRPr="00A86EE3">
        <w:rPr>
          <w:color w:val="000000" w:themeColor="text1"/>
        </w:rPr>
        <w:tab/>
        <w:t>Key components</w:t>
      </w:r>
      <w:bookmarkEnd w:id="37"/>
    </w:p>
    <w:p w14:paraId="37703E4C" w14:textId="77777777" w:rsidR="0033454E" w:rsidRDefault="0033454E" w:rsidP="0033454E">
      <w:r w:rsidRPr="007D3437">
        <w:rPr>
          <w:rFonts w:eastAsia="PMingLiU"/>
        </w:rPr>
        <w:t xml:space="preserve">Canola oil is the primary food product used for human consumption. The key components to be analysed for a comparison between transgenic and conventional canola are proximates, amino acids, </w:t>
      </w:r>
      <w:r w:rsidRPr="007D3437">
        <w:t xml:space="preserve">fatty acids (seed or oil), vitamins E and K, glucosinolates, tannins, sinapine and phytic acid </w:t>
      </w:r>
      <w:r>
        <w:rPr>
          <w:rFonts w:eastAsia="PMingLiU"/>
          <w:noProof/>
        </w:rPr>
        <w:t>(OECD 2011)</w:t>
      </w:r>
      <w:r w:rsidRPr="007D3437">
        <w:t>.</w:t>
      </w:r>
    </w:p>
    <w:p w14:paraId="6812B7D5" w14:textId="77777777" w:rsidR="0033454E" w:rsidRPr="00A86EE3" w:rsidRDefault="0033454E" w:rsidP="0033454E">
      <w:pPr>
        <w:pStyle w:val="Heading2"/>
        <w:rPr>
          <w:color w:val="000000" w:themeColor="text1"/>
        </w:rPr>
      </w:pPr>
      <w:bookmarkStart w:id="38" w:name="_Toc481491439"/>
      <w:r>
        <w:rPr>
          <w:color w:val="000000" w:themeColor="text1"/>
        </w:rPr>
        <w:t>5</w:t>
      </w:r>
      <w:r w:rsidRPr="00A86EE3">
        <w:rPr>
          <w:color w:val="000000" w:themeColor="text1"/>
        </w:rPr>
        <w:t>.2</w:t>
      </w:r>
      <w:r w:rsidRPr="00A86EE3">
        <w:rPr>
          <w:color w:val="000000" w:themeColor="text1"/>
        </w:rPr>
        <w:tab/>
        <w:t>Study design and conduct for key components</w:t>
      </w:r>
      <w:bookmarkEnd w:id="38"/>
    </w:p>
    <w:p w14:paraId="3123587F" w14:textId="77777777" w:rsidR="0033454E" w:rsidRPr="00B8539C"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r w:rsidRPr="00B8539C">
        <w:rPr>
          <w:rFonts w:cs="Arial"/>
          <w:b/>
          <w:color w:val="000000" w:themeColor="text1"/>
          <w:sz w:val="20"/>
          <w:szCs w:val="20"/>
        </w:rPr>
        <w:t>Studies submitted:</w:t>
      </w:r>
    </w:p>
    <w:p w14:paraId="3406CC1D" w14:textId="77777777" w:rsidR="0033454E" w:rsidRPr="00B8539C" w:rsidRDefault="0033454E" w:rsidP="0033454E">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p>
    <w:p w14:paraId="03D1556C" w14:textId="77777777" w:rsidR="0033454E" w:rsidRPr="00B8539C"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B8539C">
        <w:rPr>
          <w:rFonts w:cs="Arial"/>
          <w:sz w:val="20"/>
          <w:szCs w:val="20"/>
          <w:lang w:eastAsia="en-GB" w:bidi="ar-SA"/>
        </w:rPr>
        <w:t xml:space="preserve">2016. MS11 </w:t>
      </w:r>
      <w:r w:rsidRPr="00B8539C">
        <w:rPr>
          <w:rFonts w:cs="Arial"/>
          <w:i/>
          <w:iCs/>
          <w:sz w:val="20"/>
          <w:szCs w:val="20"/>
          <w:lang w:eastAsia="en-GB" w:bidi="ar-SA"/>
        </w:rPr>
        <w:t xml:space="preserve">B. napus </w:t>
      </w:r>
      <w:r w:rsidRPr="00B8539C">
        <w:rPr>
          <w:rFonts w:cs="Arial"/>
          <w:sz w:val="20"/>
          <w:szCs w:val="20"/>
          <w:lang w:eastAsia="en-GB" w:bidi="ar-SA"/>
        </w:rPr>
        <w:t>- Composition analysis of field samples grown in Canada and the USA during 2014. Unpublished Bayer Crop Science Report. Document no. M-549080-01-1.</w:t>
      </w:r>
    </w:p>
    <w:p w14:paraId="10C6BE65" w14:textId="77777777" w:rsidR="0033454E" w:rsidRPr="00B8539C"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B8539C">
        <w:rPr>
          <w:rFonts w:cs="Arial"/>
          <w:sz w:val="20"/>
          <w:szCs w:val="20"/>
          <w:lang w:eastAsia="en-GB" w:bidi="ar-SA"/>
        </w:rPr>
        <w:t xml:space="preserve">2016. MS11 x RF3 and MS11 </w:t>
      </w:r>
      <w:r w:rsidRPr="00B8539C">
        <w:rPr>
          <w:rFonts w:cs="Arial"/>
          <w:i/>
          <w:iCs/>
          <w:sz w:val="20"/>
          <w:szCs w:val="20"/>
          <w:lang w:eastAsia="en-GB" w:bidi="ar-SA"/>
        </w:rPr>
        <w:t xml:space="preserve">B. napus </w:t>
      </w:r>
      <w:r w:rsidRPr="00B8539C">
        <w:rPr>
          <w:rFonts w:cs="Arial"/>
          <w:sz w:val="20"/>
          <w:szCs w:val="20"/>
          <w:lang w:eastAsia="en-GB" w:bidi="ar-SA"/>
        </w:rPr>
        <w:t>– Field production in Canada and the USA during 2014. Unpublished Bayer Crop Science Report. Document no. M-549076-01-1.</w:t>
      </w:r>
    </w:p>
    <w:p w14:paraId="3382D7F9" w14:textId="77777777" w:rsidR="0033454E" w:rsidRPr="00B8539C" w:rsidRDefault="0033454E" w:rsidP="0033454E">
      <w:pPr>
        <w:widowControl/>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eastAsia="en-GB" w:bidi="ar-SA"/>
        </w:rPr>
      </w:pPr>
      <w:r w:rsidRPr="00B8539C">
        <w:rPr>
          <w:rFonts w:cs="Arial"/>
          <w:sz w:val="20"/>
          <w:szCs w:val="20"/>
          <w:lang w:eastAsia="en-GB" w:bidi="ar-SA"/>
        </w:rPr>
        <w:t xml:space="preserve">2016. MS11 </w:t>
      </w:r>
      <w:r w:rsidRPr="00B8539C">
        <w:rPr>
          <w:rFonts w:cs="Arial"/>
          <w:i/>
          <w:iCs/>
          <w:sz w:val="20"/>
          <w:szCs w:val="20"/>
          <w:lang w:eastAsia="en-GB" w:bidi="ar-SA"/>
        </w:rPr>
        <w:t xml:space="preserve">B. napus </w:t>
      </w:r>
      <w:r w:rsidRPr="00B8539C">
        <w:rPr>
          <w:rFonts w:cs="Arial"/>
          <w:sz w:val="20"/>
          <w:szCs w:val="20"/>
          <w:lang w:eastAsia="en-GB" w:bidi="ar-SA"/>
        </w:rPr>
        <w:t>- Processing of Grain and Analysis of Resultant Fractions, 2015. Unpublished Bayer Crop Science Report. Document no. M-552078-01-1.</w:t>
      </w:r>
    </w:p>
    <w:p w14:paraId="3DA43689" w14:textId="77777777" w:rsidR="0033454E" w:rsidRPr="00DA794B" w:rsidRDefault="0033454E" w:rsidP="0033454E">
      <w:pPr>
        <w:widowControl/>
        <w:autoSpaceDE w:val="0"/>
        <w:autoSpaceDN w:val="0"/>
        <w:adjustRightInd w:val="0"/>
        <w:rPr>
          <w:rFonts w:ascii="ArialMT" w:hAnsi="ArialMT" w:cs="ArialMT"/>
          <w:color w:val="000000" w:themeColor="text1"/>
          <w:sz w:val="20"/>
          <w:szCs w:val="20"/>
          <w:lang w:eastAsia="en-GB" w:bidi="ar-SA"/>
        </w:rPr>
      </w:pPr>
    </w:p>
    <w:p w14:paraId="5FCCFFC2" w14:textId="7C6F7E69" w:rsidR="0033454E" w:rsidRDefault="0033454E" w:rsidP="0033454E">
      <w:pPr>
        <w:widowControl/>
        <w:autoSpaceDE w:val="0"/>
        <w:autoSpaceDN w:val="0"/>
        <w:adjustRightInd w:val="0"/>
        <w:rPr>
          <w:color w:val="000000" w:themeColor="text1"/>
          <w:szCs w:val="22"/>
        </w:rPr>
      </w:pPr>
      <w:r w:rsidRPr="00DA794B">
        <w:rPr>
          <w:color w:val="000000" w:themeColor="text1"/>
          <w:szCs w:val="22"/>
        </w:rPr>
        <w:t>Verified seed lots of MS11 (generation T</w:t>
      </w:r>
      <w:r w:rsidRPr="00DA794B">
        <w:rPr>
          <w:color w:val="000000" w:themeColor="text1"/>
          <w:szCs w:val="22"/>
          <w:vertAlign w:val="subscript"/>
        </w:rPr>
        <w:t>4</w:t>
      </w:r>
      <w:r w:rsidRPr="00DA794B">
        <w:rPr>
          <w:color w:val="000000" w:themeColor="text1"/>
          <w:szCs w:val="22"/>
        </w:rPr>
        <w:t>)</w:t>
      </w:r>
      <w:r>
        <w:rPr>
          <w:color w:val="000000" w:themeColor="text1"/>
          <w:szCs w:val="22"/>
        </w:rPr>
        <w:t>,</w:t>
      </w:r>
      <w:r w:rsidRPr="00DA794B">
        <w:rPr>
          <w:color w:val="000000" w:themeColor="text1"/>
          <w:szCs w:val="22"/>
        </w:rPr>
        <w:t xml:space="preserve"> and non-GM N90-740 were used for plantings at 10 sites</w:t>
      </w:r>
      <w:r w:rsidRPr="00DA794B">
        <w:rPr>
          <w:rStyle w:val="FootnoteReference"/>
          <w:color w:val="000000" w:themeColor="text1"/>
          <w:szCs w:val="22"/>
        </w:rPr>
        <w:footnoteReference w:id="19"/>
      </w:r>
      <w:r w:rsidRPr="00DA794B">
        <w:rPr>
          <w:color w:val="000000" w:themeColor="text1"/>
          <w:szCs w:val="22"/>
        </w:rPr>
        <w:t xml:space="preserve"> across Canada and the U</w:t>
      </w:r>
      <w:r w:rsidR="00A35DB9">
        <w:rPr>
          <w:color w:val="000000" w:themeColor="text1"/>
          <w:szCs w:val="22"/>
        </w:rPr>
        <w:t>SA</w:t>
      </w:r>
      <w:r w:rsidRPr="00DA794B">
        <w:rPr>
          <w:color w:val="000000" w:themeColor="text1"/>
          <w:szCs w:val="22"/>
        </w:rPr>
        <w:t xml:space="preserve"> in 2014. </w:t>
      </w:r>
    </w:p>
    <w:p w14:paraId="567C9516" w14:textId="77777777" w:rsidR="0033454E" w:rsidRDefault="0033454E" w:rsidP="0033454E">
      <w:pPr>
        <w:widowControl/>
        <w:autoSpaceDE w:val="0"/>
        <w:autoSpaceDN w:val="0"/>
        <w:adjustRightInd w:val="0"/>
        <w:rPr>
          <w:color w:val="000000" w:themeColor="text1"/>
          <w:szCs w:val="22"/>
        </w:rPr>
      </w:pPr>
    </w:p>
    <w:p w14:paraId="04703E25" w14:textId="0D25F3EF" w:rsidR="0033454E" w:rsidRPr="002C55D6" w:rsidRDefault="0033454E" w:rsidP="0033454E">
      <w:pPr>
        <w:widowControl/>
        <w:autoSpaceDE w:val="0"/>
        <w:autoSpaceDN w:val="0"/>
        <w:adjustRightInd w:val="0"/>
        <w:rPr>
          <w:rFonts w:ascii="ArialMT" w:hAnsi="ArialMT" w:cs="ArialMT"/>
          <w:szCs w:val="22"/>
          <w:lang w:eastAsia="en-GB" w:bidi="ar-SA"/>
        </w:rPr>
      </w:pPr>
      <w:r w:rsidRPr="00DA794B">
        <w:rPr>
          <w:color w:val="000000" w:themeColor="text1"/>
          <w:szCs w:val="22"/>
        </w:rPr>
        <w:t>Planting and crop maintenance were done according to local agronomic practices at each site.</w:t>
      </w:r>
      <w:r>
        <w:rPr>
          <w:color w:val="000000" w:themeColor="text1"/>
          <w:szCs w:val="22"/>
        </w:rPr>
        <w:t xml:space="preserve"> For MS11, plants were either left unsprayed with glufosinate or sprayed with </w:t>
      </w:r>
      <w:r w:rsidRPr="00E760F7">
        <w:rPr>
          <w:rFonts w:ascii="CharterBT-Roman" w:hAnsi="CharterBT-Roman" w:cs="CharterBT-Roman"/>
          <w:color w:val="000000" w:themeColor="text1"/>
          <w:szCs w:val="22"/>
          <w:lang w:eastAsia="en-GB" w:bidi="ar-SA"/>
        </w:rPr>
        <w:t>Liberty® 280SL containing approximately 280 g</w:t>
      </w:r>
      <w:r>
        <w:rPr>
          <w:rFonts w:ascii="CharterBT-Roman" w:hAnsi="CharterBT-Roman" w:cs="CharterBT-Roman"/>
          <w:color w:val="000000" w:themeColor="text1"/>
          <w:szCs w:val="22"/>
          <w:lang w:eastAsia="en-GB" w:bidi="ar-SA"/>
        </w:rPr>
        <w:t xml:space="preserve"> ai</w:t>
      </w:r>
      <w:r w:rsidRPr="00E760F7">
        <w:rPr>
          <w:rFonts w:ascii="CharterBT-Roman" w:hAnsi="CharterBT-Roman" w:cs="CharterBT-Roman"/>
          <w:color w:val="000000" w:themeColor="text1"/>
          <w:szCs w:val="22"/>
          <w:lang w:eastAsia="en-GB" w:bidi="ar-SA"/>
        </w:rPr>
        <w:t>/L glufosinate ammonium applied at the 2 – 4 leaf growth stage (BBCH12-14</w:t>
      </w:r>
      <w:r>
        <w:rPr>
          <w:color w:val="000000" w:themeColor="text1"/>
          <w:szCs w:val="22"/>
        </w:rPr>
        <w:t xml:space="preserve">). </w:t>
      </w:r>
      <w:r>
        <w:rPr>
          <w:rFonts w:cs="Arial"/>
          <w:color w:val="000000" w:themeColor="text1"/>
          <w:szCs w:val="22"/>
          <w:shd w:val="clear" w:color="auto" w:fill="FFFFFF"/>
        </w:rPr>
        <w:t>Additionally, a total of six non-GM registered commercial</w:t>
      </w:r>
      <w:r w:rsidRPr="00F70C3D">
        <w:rPr>
          <w:rFonts w:cs="Arial"/>
          <w:color w:val="000000" w:themeColor="text1"/>
          <w:szCs w:val="22"/>
          <w:shd w:val="clear" w:color="auto" w:fill="FFFFFF"/>
        </w:rPr>
        <w:t xml:space="preserve"> lines</w:t>
      </w:r>
      <w:r>
        <w:rPr>
          <w:rStyle w:val="FootnoteReference"/>
          <w:rFonts w:cs="Arial"/>
          <w:color w:val="000000" w:themeColor="text1"/>
          <w:szCs w:val="22"/>
          <w:shd w:val="clear" w:color="auto" w:fill="FFFFFF"/>
        </w:rPr>
        <w:footnoteReference w:id="20"/>
      </w:r>
      <w:r w:rsidRPr="00F70C3D">
        <w:rPr>
          <w:rFonts w:cs="Arial"/>
          <w:color w:val="000000" w:themeColor="text1"/>
          <w:szCs w:val="22"/>
          <w:shd w:val="clear" w:color="auto" w:fill="FFFFFF"/>
        </w:rPr>
        <w:t xml:space="preserve"> were also gr</w:t>
      </w:r>
      <w:r>
        <w:rPr>
          <w:rFonts w:cs="Arial"/>
          <w:color w:val="000000" w:themeColor="text1"/>
          <w:szCs w:val="22"/>
          <w:shd w:val="clear" w:color="auto" w:fill="FFFFFF"/>
        </w:rPr>
        <w:t>own as reference lines, with three</w:t>
      </w:r>
      <w:r w:rsidRPr="00F70C3D">
        <w:rPr>
          <w:rFonts w:cs="Arial"/>
          <w:color w:val="000000" w:themeColor="text1"/>
          <w:szCs w:val="22"/>
          <w:shd w:val="clear" w:color="auto" w:fill="FFFFFF"/>
        </w:rPr>
        <w:t xml:space="preserve"> </w:t>
      </w:r>
      <w:r w:rsidRPr="002C55D6">
        <w:rPr>
          <w:rFonts w:cs="Arial"/>
          <w:color w:val="000000" w:themeColor="text1"/>
          <w:szCs w:val="22"/>
          <w:shd w:val="clear" w:color="auto" w:fill="FFFFFF"/>
        </w:rPr>
        <w:t xml:space="preserve">different lines being grown at each site, in order to generate </w:t>
      </w:r>
      <w:r>
        <w:rPr>
          <w:rFonts w:cs="Arial"/>
          <w:color w:val="000000" w:themeColor="text1"/>
          <w:szCs w:val="22"/>
          <w:shd w:val="clear" w:color="auto" w:fill="FFFFFF"/>
        </w:rPr>
        <w:t>a tolerance interval</w:t>
      </w:r>
      <w:r w:rsidRPr="002C55D6">
        <w:rPr>
          <w:rFonts w:cs="Arial"/>
          <w:color w:val="000000" w:themeColor="text1"/>
          <w:szCs w:val="22"/>
          <w:shd w:val="clear" w:color="auto" w:fill="FFFFFF"/>
        </w:rPr>
        <w:t xml:space="preserve"> for each analyte and hence </w:t>
      </w:r>
      <w:r w:rsidRPr="002C55D6">
        <w:rPr>
          <w:rFonts w:cs="Arial"/>
          <w:bCs/>
          <w:color w:val="000000" w:themeColor="text1"/>
          <w:szCs w:val="22"/>
        </w:rPr>
        <w:t>to aid in the determination of the normal variation found in canola analyte levels.</w:t>
      </w:r>
      <w:r>
        <w:rPr>
          <w:rFonts w:cs="Arial"/>
          <w:bCs/>
          <w:color w:val="000000" w:themeColor="text1"/>
          <w:szCs w:val="22"/>
        </w:rPr>
        <w:t xml:space="preserve"> These reference lines are </w:t>
      </w:r>
      <w:r>
        <w:rPr>
          <w:rFonts w:ascii="ArialMT" w:hAnsi="ArialMT" w:cs="ArialMT"/>
          <w:szCs w:val="22"/>
          <w:lang w:eastAsia="en-GB" w:bidi="ar-SA"/>
        </w:rPr>
        <w:t xml:space="preserve">representative of, and adapted to, the growing conditions of the major </w:t>
      </w:r>
      <w:r>
        <w:rPr>
          <w:rFonts w:ascii="Arial-ItalicMT" w:hAnsi="Arial-ItalicMT" w:cs="Arial-ItalicMT"/>
          <w:i/>
          <w:iCs/>
          <w:szCs w:val="22"/>
          <w:lang w:eastAsia="en-GB" w:bidi="ar-SA"/>
        </w:rPr>
        <w:t xml:space="preserve">B. napus </w:t>
      </w:r>
      <w:r>
        <w:rPr>
          <w:rFonts w:ascii="ArialMT" w:hAnsi="ArialMT" w:cs="ArialMT"/>
          <w:szCs w:val="22"/>
          <w:lang w:eastAsia="en-GB" w:bidi="ar-SA"/>
        </w:rPr>
        <w:t>growing regions in Canada and the U</w:t>
      </w:r>
      <w:r w:rsidR="00A35DB9">
        <w:rPr>
          <w:rFonts w:ascii="ArialMT" w:hAnsi="ArialMT" w:cs="ArialMT"/>
          <w:szCs w:val="22"/>
          <w:lang w:eastAsia="en-GB" w:bidi="ar-SA"/>
        </w:rPr>
        <w:t>SA</w:t>
      </w:r>
      <w:r>
        <w:rPr>
          <w:rFonts w:ascii="ArialMT" w:hAnsi="ArialMT" w:cs="ArialMT"/>
          <w:szCs w:val="22"/>
          <w:lang w:eastAsia="en-GB" w:bidi="ar-SA"/>
        </w:rPr>
        <w:t>.</w:t>
      </w:r>
    </w:p>
    <w:p w14:paraId="610CBA0D" w14:textId="0FA34E10" w:rsidR="00A35DB9" w:rsidRDefault="00A35DB9" w:rsidP="0033454E">
      <w:pPr>
        <w:rPr>
          <w:color w:val="000000" w:themeColor="text1"/>
          <w:szCs w:val="22"/>
        </w:rPr>
      </w:pPr>
      <w:r>
        <w:rPr>
          <w:color w:val="000000" w:themeColor="text1"/>
          <w:szCs w:val="22"/>
        </w:rPr>
        <w:br w:type="page"/>
      </w:r>
    </w:p>
    <w:p w14:paraId="404A6FCC" w14:textId="141F4869"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r w:rsidRPr="002C55D6">
        <w:rPr>
          <w:rFonts w:ascii="CharterBT-Roman" w:hAnsi="CharterBT-Roman" w:cs="CharterBT-Roman"/>
          <w:color w:val="000000" w:themeColor="text1"/>
          <w:szCs w:val="22"/>
          <w:lang w:eastAsia="en-GB" w:bidi="ar-SA"/>
        </w:rPr>
        <w:lastRenderedPageBreak/>
        <w:t xml:space="preserve">Each trial site comprised </w:t>
      </w:r>
      <w:r>
        <w:rPr>
          <w:rFonts w:ascii="CharterBT-Roman" w:hAnsi="CharterBT-Roman" w:cs="CharterBT-Roman"/>
          <w:color w:val="000000" w:themeColor="text1"/>
          <w:szCs w:val="22"/>
          <w:lang w:eastAsia="en-GB" w:bidi="ar-SA"/>
        </w:rPr>
        <w:t>six</w:t>
      </w:r>
      <w:r w:rsidRPr="002C55D6">
        <w:rPr>
          <w:rFonts w:ascii="CharterBT-Roman" w:hAnsi="CharterBT-Roman" w:cs="CharterBT-Roman"/>
          <w:color w:val="000000" w:themeColor="text1"/>
          <w:szCs w:val="22"/>
          <w:lang w:eastAsia="en-GB" w:bidi="ar-SA"/>
        </w:rPr>
        <w:t xml:space="preserve"> entries</w:t>
      </w:r>
      <w:r>
        <w:rPr>
          <w:rFonts w:ascii="CharterBT-Roman" w:hAnsi="CharterBT-Roman" w:cs="CharterBT-Roman"/>
          <w:color w:val="000000" w:themeColor="text1"/>
          <w:szCs w:val="22"/>
          <w:lang w:eastAsia="en-GB" w:bidi="ar-SA"/>
        </w:rPr>
        <w:t>:</w:t>
      </w:r>
    </w:p>
    <w:p w14:paraId="0F298DA8" w14:textId="77777777" w:rsidR="00A81CB6" w:rsidRDefault="00A81CB6" w:rsidP="0033454E">
      <w:pPr>
        <w:widowControl/>
        <w:autoSpaceDE w:val="0"/>
        <w:autoSpaceDN w:val="0"/>
        <w:adjustRightInd w:val="0"/>
        <w:rPr>
          <w:rFonts w:ascii="CharterBT-Roman" w:hAnsi="CharterBT-Roman" w:cs="CharterBT-Roman"/>
          <w:color w:val="000000" w:themeColor="text1"/>
          <w:szCs w:val="22"/>
          <w:lang w:eastAsia="en-GB" w:bidi="ar-SA"/>
        </w:rPr>
      </w:pPr>
    </w:p>
    <w:p w14:paraId="02AFAE3E" w14:textId="538A0B65" w:rsidR="0033454E" w:rsidRPr="000A63BE" w:rsidRDefault="0033454E" w:rsidP="001E4C6F">
      <w:pPr>
        <w:pStyle w:val="FSBullet1"/>
        <w:rPr>
          <w:lang w:eastAsia="en-GB"/>
        </w:rPr>
      </w:pPr>
      <w:r w:rsidRPr="000A63BE">
        <w:rPr>
          <w:lang w:eastAsia="en-GB"/>
        </w:rPr>
        <w:t xml:space="preserve">A </w:t>
      </w:r>
      <w:r w:rsidR="00A81CB6">
        <w:rPr>
          <w:lang w:eastAsia="en-GB"/>
        </w:rPr>
        <w:t>–</w:t>
      </w:r>
      <w:r w:rsidRPr="000A63BE">
        <w:rPr>
          <w:lang w:eastAsia="en-GB"/>
        </w:rPr>
        <w:t xml:space="preserve"> N90-740</w:t>
      </w:r>
    </w:p>
    <w:p w14:paraId="28BC3ECA" w14:textId="71E3F861" w:rsidR="0033454E" w:rsidRPr="000A63BE" w:rsidRDefault="0033454E" w:rsidP="001E4C6F">
      <w:pPr>
        <w:pStyle w:val="FSBullet1"/>
        <w:rPr>
          <w:lang w:eastAsia="en-GB"/>
        </w:rPr>
      </w:pPr>
      <w:r w:rsidRPr="000A63BE">
        <w:rPr>
          <w:lang w:eastAsia="en-GB"/>
        </w:rPr>
        <w:t xml:space="preserve">B </w:t>
      </w:r>
      <w:r w:rsidR="00A81CB6">
        <w:rPr>
          <w:lang w:eastAsia="en-GB"/>
        </w:rPr>
        <w:t>–</w:t>
      </w:r>
      <w:r w:rsidRPr="000A63BE">
        <w:rPr>
          <w:lang w:eastAsia="en-GB"/>
        </w:rPr>
        <w:t xml:space="preserve"> MS11 unsprayed with glufosinate</w:t>
      </w:r>
    </w:p>
    <w:p w14:paraId="58C1A30D" w14:textId="51BCA782" w:rsidR="0033454E" w:rsidRPr="000A63BE" w:rsidRDefault="0033454E" w:rsidP="001E4C6F">
      <w:pPr>
        <w:pStyle w:val="FSBullet1"/>
        <w:rPr>
          <w:lang w:eastAsia="en-GB"/>
        </w:rPr>
      </w:pPr>
      <w:r w:rsidRPr="000A63BE">
        <w:rPr>
          <w:lang w:eastAsia="en-GB"/>
        </w:rPr>
        <w:t xml:space="preserve">C </w:t>
      </w:r>
      <w:r w:rsidR="00A81CB6">
        <w:rPr>
          <w:lang w:eastAsia="en-GB"/>
        </w:rPr>
        <w:t>–</w:t>
      </w:r>
      <w:r w:rsidRPr="000A63BE">
        <w:rPr>
          <w:lang w:eastAsia="en-GB"/>
        </w:rPr>
        <w:t xml:space="preserve"> MS11 sprayed with glufosinate</w:t>
      </w:r>
    </w:p>
    <w:p w14:paraId="17990823" w14:textId="77777777" w:rsidR="0033454E" w:rsidRPr="000A63BE" w:rsidRDefault="0033454E" w:rsidP="001E4C6F">
      <w:pPr>
        <w:pStyle w:val="FSBullet1"/>
        <w:rPr>
          <w:lang w:eastAsia="en-GB"/>
        </w:rPr>
      </w:pPr>
      <w:r w:rsidRPr="000A63BE">
        <w:rPr>
          <w:lang w:eastAsia="en-GB"/>
        </w:rPr>
        <w:t>F, G, H, I, J, K – three of the six reference lines.</w:t>
      </w:r>
    </w:p>
    <w:p w14:paraId="64D9D518" w14:textId="77777777" w:rsidR="0033454E" w:rsidRDefault="0033454E" w:rsidP="0033454E">
      <w:pPr>
        <w:widowControl/>
        <w:autoSpaceDE w:val="0"/>
        <w:autoSpaceDN w:val="0"/>
        <w:adjustRightInd w:val="0"/>
        <w:rPr>
          <w:rFonts w:ascii="CharterBT-Roman" w:hAnsi="CharterBT-Roman" w:cs="CharterBT-Roman"/>
          <w:color w:val="000000" w:themeColor="text1"/>
          <w:szCs w:val="22"/>
          <w:lang w:eastAsia="en-GB" w:bidi="ar-SA"/>
        </w:rPr>
      </w:pPr>
    </w:p>
    <w:p w14:paraId="13D0E445" w14:textId="77777777" w:rsidR="0033454E" w:rsidRDefault="0033454E" w:rsidP="0033454E">
      <w:pPr>
        <w:widowControl/>
        <w:autoSpaceDE w:val="0"/>
        <w:autoSpaceDN w:val="0"/>
        <w:adjustRightInd w:val="0"/>
        <w:rPr>
          <w:rFonts w:ascii="ArialMT" w:hAnsi="ArialMT" w:cs="ArialMT"/>
          <w:color w:val="000000" w:themeColor="text1"/>
          <w:szCs w:val="22"/>
          <w:lang w:eastAsia="en-GB" w:bidi="ar-SA"/>
        </w:rPr>
      </w:pPr>
      <w:r>
        <w:rPr>
          <w:rFonts w:ascii="CharterBT-Roman" w:hAnsi="CharterBT-Roman" w:cs="CharterBT-Roman"/>
          <w:color w:val="000000" w:themeColor="text1"/>
          <w:szCs w:val="22"/>
          <w:lang w:eastAsia="en-GB" w:bidi="ar-SA"/>
        </w:rPr>
        <w:t xml:space="preserve">Each entry was </w:t>
      </w:r>
      <w:r w:rsidRPr="002C55D6">
        <w:rPr>
          <w:rFonts w:ascii="CharterBT-Roman" w:hAnsi="CharterBT-Roman" w:cs="CharterBT-Roman"/>
          <w:color w:val="000000" w:themeColor="text1"/>
          <w:szCs w:val="22"/>
          <w:lang w:eastAsia="en-GB" w:bidi="ar-SA"/>
        </w:rPr>
        <w:t>replicated four times (</w:t>
      </w:r>
      <w:r>
        <w:rPr>
          <w:rFonts w:ascii="CharterBT-Roman" w:hAnsi="CharterBT-Roman" w:cs="CharterBT-Roman"/>
          <w:color w:val="000000" w:themeColor="text1"/>
          <w:szCs w:val="22"/>
          <w:lang w:eastAsia="en-GB" w:bidi="ar-SA"/>
        </w:rPr>
        <w:t>24</w:t>
      </w:r>
      <w:r w:rsidRPr="002C55D6">
        <w:rPr>
          <w:rFonts w:ascii="CharterBT-Roman" w:hAnsi="CharterBT-Roman" w:cs="CharterBT-Roman"/>
          <w:color w:val="000000" w:themeColor="text1"/>
          <w:szCs w:val="22"/>
          <w:lang w:eastAsia="en-GB" w:bidi="ar-SA"/>
        </w:rPr>
        <w:t xml:space="preserve"> plots in total) </w:t>
      </w:r>
      <w:r>
        <w:rPr>
          <w:rFonts w:ascii="CharterBT-Roman" w:hAnsi="CharterBT-Roman" w:cs="CharterBT-Roman"/>
          <w:color w:val="000000" w:themeColor="text1"/>
          <w:szCs w:val="22"/>
          <w:lang w:eastAsia="en-GB" w:bidi="ar-SA"/>
        </w:rPr>
        <w:t>in a randomis</w:t>
      </w:r>
      <w:r w:rsidRPr="002C55D6">
        <w:rPr>
          <w:rFonts w:ascii="CharterBT-Roman" w:hAnsi="CharterBT-Roman" w:cs="CharterBT-Roman"/>
          <w:color w:val="000000" w:themeColor="text1"/>
          <w:szCs w:val="22"/>
          <w:lang w:eastAsia="en-GB" w:bidi="ar-SA"/>
        </w:rPr>
        <w:t xml:space="preserve">ed complete block design. Each entry was planted in a minimum of six-row plots of 5-6 meters in </w:t>
      </w:r>
      <w:r w:rsidRPr="002C55D6">
        <w:rPr>
          <w:rFonts w:cs="Arial"/>
          <w:color w:val="000000" w:themeColor="text1"/>
          <w:szCs w:val="22"/>
          <w:lang w:eastAsia="en-GB" w:bidi="ar-SA"/>
        </w:rPr>
        <w:t xml:space="preserve">length. </w:t>
      </w:r>
      <w:r w:rsidRPr="002C55D6">
        <w:rPr>
          <w:rFonts w:ascii="ArialMT" w:hAnsi="ArialMT" w:cs="ArialMT"/>
          <w:color w:val="000000" w:themeColor="text1"/>
          <w:szCs w:val="22"/>
          <w:lang w:eastAsia="en-GB" w:bidi="ar-SA"/>
        </w:rPr>
        <w:t>The seeding de</w:t>
      </w:r>
      <w:r>
        <w:rPr>
          <w:rFonts w:ascii="ArialMT" w:hAnsi="ArialMT" w:cs="ArialMT"/>
          <w:color w:val="000000" w:themeColor="text1"/>
          <w:szCs w:val="22"/>
          <w:lang w:eastAsia="en-GB" w:bidi="ar-SA"/>
        </w:rPr>
        <w:t>nsity for the MS11 plots sprayed</w:t>
      </w:r>
      <w:r w:rsidRPr="002C55D6">
        <w:rPr>
          <w:rFonts w:ascii="ArialMT" w:hAnsi="ArialMT" w:cs="ArialMT"/>
          <w:color w:val="000000" w:themeColor="text1"/>
          <w:szCs w:val="22"/>
          <w:lang w:eastAsia="en-GB" w:bidi="ar-SA"/>
        </w:rPr>
        <w:t xml:space="preserve"> with glufosinate ammonium was double that of the other plo</w:t>
      </w:r>
      <w:r>
        <w:rPr>
          <w:rFonts w:ascii="ArialMT" w:hAnsi="ArialMT" w:cs="ArialMT"/>
          <w:color w:val="000000" w:themeColor="text1"/>
          <w:szCs w:val="22"/>
          <w:lang w:eastAsia="en-GB" w:bidi="ar-SA"/>
        </w:rPr>
        <w:t>ts</w:t>
      </w:r>
      <w:r w:rsidRPr="002C55D6">
        <w:rPr>
          <w:rFonts w:ascii="ArialMT" w:hAnsi="ArialMT" w:cs="ArialMT"/>
          <w:color w:val="000000" w:themeColor="text1"/>
          <w:szCs w:val="22"/>
          <w:lang w:eastAsia="en-GB" w:bidi="ar-SA"/>
        </w:rPr>
        <w:t xml:space="preserve"> because approximately 50 % of seedlings (negative segregants) were not tolerant to glufosinate-ammonium application. Therefore, all plots resulted in approximately the same plant density after glufosinate-</w:t>
      </w:r>
      <w:r>
        <w:rPr>
          <w:rFonts w:ascii="ArialMT" w:hAnsi="ArialMT" w:cs="ArialMT"/>
          <w:color w:val="000000" w:themeColor="text1"/>
          <w:szCs w:val="22"/>
          <w:lang w:eastAsia="en-GB" w:bidi="ar-SA"/>
        </w:rPr>
        <w:t>ammonium spraying</w:t>
      </w:r>
      <w:r w:rsidRPr="008721F7">
        <w:rPr>
          <w:rFonts w:ascii="ArialMT" w:hAnsi="ArialMT" w:cs="ArialMT"/>
          <w:color w:val="000000" w:themeColor="text1"/>
          <w:szCs w:val="22"/>
          <w:lang w:eastAsia="en-GB" w:bidi="ar-SA"/>
        </w:rPr>
        <w:t xml:space="preserve">. </w:t>
      </w:r>
      <w:r>
        <w:rPr>
          <w:rFonts w:ascii="ArialMT" w:hAnsi="ArialMT" w:cs="ArialMT"/>
          <w:color w:val="000000" w:themeColor="text1"/>
          <w:szCs w:val="22"/>
          <w:lang w:eastAsia="en-GB" w:bidi="ar-SA"/>
        </w:rPr>
        <w:t xml:space="preserve">A further complication in experimental design was that normal reproduction in canola occurs primarily through self-pollination (70%) but in order for the male-sterile MS11 plants to produce seed there would need to be 100% pollination from adjacent fertile canola. Ideally, for consistency in analytical results, the adjacent plants would be the N90-740 parental line and, indeed, in the unsprayed MS11 plots this is the case. However, in the sprayed MS11 plants, any adjacent non-GM N90-740 plants are destroyed by spraying so that fertilisation is achieved by pollen from neighbouring plots that comprise N90-740 as well as up to three different non-GM commercial reference lines. Therefore there is expected to be considerably less consistency between the results for seed analytes from the sprayed and unsprayed MS11. </w:t>
      </w:r>
    </w:p>
    <w:p w14:paraId="4FD1E9C8" w14:textId="77777777" w:rsidR="0033454E" w:rsidRDefault="0033454E" w:rsidP="0033454E">
      <w:pPr>
        <w:widowControl/>
        <w:autoSpaceDE w:val="0"/>
        <w:autoSpaceDN w:val="0"/>
        <w:adjustRightInd w:val="0"/>
        <w:rPr>
          <w:rFonts w:ascii="ArialMT" w:hAnsi="ArialMT" w:cs="ArialMT"/>
          <w:color w:val="000000" w:themeColor="text1"/>
          <w:szCs w:val="22"/>
          <w:lang w:eastAsia="en-GB" w:bidi="ar-SA"/>
        </w:rPr>
      </w:pPr>
    </w:p>
    <w:p w14:paraId="430278C5" w14:textId="77777777" w:rsidR="0033454E" w:rsidRPr="008721F7" w:rsidRDefault="0033454E" w:rsidP="00A35DB9">
      <w:pPr>
        <w:widowControl/>
        <w:autoSpaceDE w:val="0"/>
        <w:autoSpaceDN w:val="0"/>
        <w:adjustRightInd w:val="0"/>
        <w:ind w:right="-142"/>
        <w:rPr>
          <w:rFonts w:ascii="ArialMT" w:hAnsi="ArialMT" w:cs="ArialMT"/>
          <w:color w:val="000000" w:themeColor="text1"/>
          <w:szCs w:val="22"/>
          <w:lang w:eastAsia="en-GB" w:bidi="ar-SA"/>
        </w:rPr>
      </w:pPr>
      <w:r>
        <w:rPr>
          <w:rFonts w:cs="Arial"/>
          <w:color w:val="000000" w:themeColor="text1"/>
          <w:szCs w:val="22"/>
          <w:lang w:eastAsia="en-GB" w:bidi="ar-SA"/>
        </w:rPr>
        <w:t>Seed was harvested at physiological maturity;</w:t>
      </w:r>
      <w:r w:rsidRPr="008721F7">
        <w:rPr>
          <w:rFonts w:cs="Arial"/>
          <w:color w:val="000000" w:themeColor="text1"/>
          <w:szCs w:val="22"/>
          <w:lang w:eastAsia="en-GB" w:bidi="ar-SA"/>
        </w:rPr>
        <w:t xml:space="preserve"> </w:t>
      </w:r>
      <w:r w:rsidRPr="008721F7">
        <w:rPr>
          <w:rFonts w:ascii="ArialMT" w:hAnsi="ArialMT" w:cs="ArialMT"/>
          <w:color w:val="000000" w:themeColor="text1"/>
          <w:szCs w:val="22"/>
          <w:lang w:eastAsia="en-GB" w:bidi="ar-SA"/>
        </w:rPr>
        <w:t xml:space="preserve">each sample consisted of approximately 0.3 kg of </w:t>
      </w:r>
      <w:r w:rsidRPr="008721F7">
        <w:rPr>
          <w:rFonts w:ascii="Arial-ItalicMT" w:hAnsi="Arial-ItalicMT" w:cs="Arial-ItalicMT"/>
          <w:iCs/>
          <w:color w:val="000000" w:themeColor="text1"/>
          <w:szCs w:val="22"/>
          <w:lang w:eastAsia="en-GB" w:bidi="ar-SA"/>
        </w:rPr>
        <w:t>seed</w:t>
      </w:r>
      <w:r w:rsidRPr="008721F7">
        <w:rPr>
          <w:rFonts w:ascii="ArialMT" w:hAnsi="ArialMT" w:cs="ArialMT"/>
          <w:color w:val="000000" w:themeColor="text1"/>
          <w:szCs w:val="22"/>
          <w:lang w:eastAsia="en-GB" w:bidi="ar-SA"/>
        </w:rPr>
        <w:t>, with the exception of some plots with lower yields.</w:t>
      </w:r>
    </w:p>
    <w:p w14:paraId="50DFF29C" w14:textId="77777777" w:rsidR="0033454E" w:rsidRPr="008721F7" w:rsidRDefault="0033454E" w:rsidP="0033454E">
      <w:pPr>
        <w:widowControl/>
        <w:autoSpaceDE w:val="0"/>
        <w:autoSpaceDN w:val="0"/>
        <w:adjustRightInd w:val="0"/>
        <w:rPr>
          <w:rFonts w:cs="Arial"/>
          <w:color w:val="000000" w:themeColor="text1"/>
          <w:szCs w:val="22"/>
          <w:lang w:eastAsia="en-GB" w:bidi="ar-SA"/>
        </w:rPr>
      </w:pPr>
    </w:p>
    <w:p w14:paraId="3A6B2ABB" w14:textId="77777777" w:rsidR="0033454E" w:rsidRPr="008721F7" w:rsidRDefault="0033454E" w:rsidP="0033454E">
      <w:pPr>
        <w:autoSpaceDE w:val="0"/>
        <w:autoSpaceDN w:val="0"/>
        <w:adjustRightInd w:val="0"/>
        <w:rPr>
          <w:rFonts w:cs="Arial"/>
          <w:color w:val="000000" w:themeColor="text1"/>
          <w:szCs w:val="22"/>
        </w:rPr>
      </w:pPr>
      <w:r w:rsidRPr="008721F7">
        <w:rPr>
          <w:rFonts w:cs="Arial"/>
          <w:color w:val="000000" w:themeColor="text1"/>
          <w:szCs w:val="22"/>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3C531C87" w14:textId="46B74DEA" w:rsidR="0033454E" w:rsidRPr="00CA3AF5" w:rsidRDefault="0033454E" w:rsidP="0033454E">
      <w:pPr>
        <w:pStyle w:val="Heading2"/>
        <w:rPr>
          <w:color w:val="000000" w:themeColor="text1"/>
        </w:rPr>
      </w:pPr>
      <w:bookmarkStart w:id="39" w:name="_Toc481491440"/>
      <w:r w:rsidRPr="00CA3AF5">
        <w:rPr>
          <w:color w:val="000000" w:themeColor="text1"/>
        </w:rPr>
        <w:t>5.3</w:t>
      </w:r>
      <w:r w:rsidRPr="00CA3AF5">
        <w:rPr>
          <w:color w:val="000000" w:themeColor="text1"/>
        </w:rPr>
        <w:tab/>
        <w:t xml:space="preserve">Analyses of key components in </w:t>
      </w:r>
      <w:r w:rsidR="00E14B21">
        <w:rPr>
          <w:color w:val="000000" w:themeColor="text1"/>
        </w:rPr>
        <w:t>seed</w:t>
      </w:r>
      <w:bookmarkEnd w:id="39"/>
    </w:p>
    <w:p w14:paraId="1FDCBEDA" w14:textId="77777777" w:rsidR="00F75B45" w:rsidRPr="00F70C3D" w:rsidRDefault="00F75B45" w:rsidP="00F75B45">
      <w:pPr>
        <w:autoSpaceDE w:val="0"/>
        <w:autoSpaceDN w:val="0"/>
        <w:adjustRightInd w:val="0"/>
        <w:rPr>
          <w:rFonts w:ascii="Times New Roman" w:eastAsiaTheme="minorHAnsi" w:hAnsi="Times New Roman"/>
          <w:color w:val="000000" w:themeColor="text1"/>
          <w:sz w:val="24"/>
        </w:rPr>
      </w:pPr>
      <w:r w:rsidRPr="00F70C3D">
        <w:rPr>
          <w:rFonts w:cs="Arial"/>
          <w:color w:val="000000" w:themeColor="text1"/>
          <w:szCs w:val="22"/>
        </w:rPr>
        <w:t xml:space="preserve">The replicated sites were analysed both separately </w:t>
      </w:r>
      <w:r>
        <w:rPr>
          <w:rFonts w:cs="Arial"/>
          <w:color w:val="000000" w:themeColor="text1"/>
          <w:szCs w:val="22"/>
        </w:rPr>
        <w:t xml:space="preserve">(by-site analysis) </w:t>
      </w:r>
      <w:r w:rsidRPr="00F70C3D">
        <w:rPr>
          <w:rFonts w:cs="Arial"/>
          <w:color w:val="000000" w:themeColor="text1"/>
          <w:szCs w:val="22"/>
        </w:rPr>
        <w:t>and combined across all</w:t>
      </w:r>
      <w:r>
        <w:rPr>
          <w:rFonts w:cs="Arial"/>
          <w:color w:val="000000" w:themeColor="text1"/>
          <w:szCs w:val="22"/>
        </w:rPr>
        <w:t xml:space="preserve"> sites (combined-site analysis) using a mixed model analysis of variance.</w:t>
      </w:r>
      <w:r w:rsidRPr="00F70C3D">
        <w:rPr>
          <w:rFonts w:cs="Arial"/>
          <w:color w:val="000000" w:themeColor="text1"/>
          <w:szCs w:val="22"/>
        </w:rPr>
        <w:t xml:space="preserve"> Descriptive sta</w:t>
      </w:r>
      <w:r>
        <w:rPr>
          <w:rFonts w:cs="Arial"/>
          <w:color w:val="000000" w:themeColor="text1"/>
          <w:szCs w:val="22"/>
        </w:rPr>
        <w:t xml:space="preserve">tistics (mean and standard </w:t>
      </w:r>
      <w:r w:rsidRPr="00A62A8C">
        <w:rPr>
          <w:rFonts w:cs="Arial"/>
          <w:color w:val="000000" w:themeColor="text1"/>
          <w:szCs w:val="22"/>
        </w:rPr>
        <w:t>deviation (SD) were</w:t>
      </w:r>
      <w:r w:rsidRPr="00F70C3D">
        <w:rPr>
          <w:rFonts w:cs="Arial"/>
          <w:color w:val="000000" w:themeColor="text1"/>
          <w:szCs w:val="22"/>
        </w:rPr>
        <w:t xml:space="preserve"> generated and are presented </w:t>
      </w:r>
      <w:r w:rsidRPr="004F4FDA">
        <w:rPr>
          <w:rFonts w:cs="Arial"/>
          <w:color w:val="000000" w:themeColor="text1"/>
          <w:szCs w:val="22"/>
        </w:rPr>
        <w:t>in Tables 5 – 10 which represent results from combined-site analyses. Pairwise comparisons (t-test) were made between the non-GM control (A) and the herbicide unsprayed (B) and sprayed</w:t>
      </w:r>
      <w:r>
        <w:rPr>
          <w:rFonts w:cs="Arial"/>
          <w:color w:val="000000" w:themeColor="text1"/>
          <w:szCs w:val="22"/>
        </w:rPr>
        <w:t xml:space="preserve"> (C) lines containing event MS11 (i.e. A vs B; A vs C). </w:t>
      </w:r>
      <w:r w:rsidRPr="00F70C3D">
        <w:rPr>
          <w:rFonts w:cs="Arial"/>
          <w:color w:val="000000" w:themeColor="text1"/>
          <w:szCs w:val="22"/>
        </w:rPr>
        <w:t xml:space="preserve">In assessing the significance of any difference between </w:t>
      </w:r>
      <w:r>
        <w:rPr>
          <w:rFonts w:cs="Arial"/>
          <w:color w:val="000000" w:themeColor="text1"/>
          <w:szCs w:val="22"/>
        </w:rPr>
        <w:t xml:space="preserve">least square </w:t>
      </w:r>
      <w:r w:rsidRPr="00F70C3D">
        <w:rPr>
          <w:rFonts w:cs="Arial"/>
          <w:color w:val="000000" w:themeColor="text1"/>
          <w:szCs w:val="22"/>
        </w:rPr>
        <w:t xml:space="preserve">means, a P-value of 0.05 was used (i.e. a P-value of ≥0.05 was not significant). </w:t>
      </w:r>
    </w:p>
    <w:p w14:paraId="72927FDE" w14:textId="77777777" w:rsidR="00F75B45" w:rsidRPr="00F70C3D" w:rsidRDefault="00F75B45" w:rsidP="00F75B45">
      <w:pPr>
        <w:rPr>
          <w:rFonts w:cs="Arial"/>
          <w:color w:val="000000" w:themeColor="text1"/>
          <w:szCs w:val="22"/>
          <w:highlight w:val="yellow"/>
        </w:rPr>
      </w:pPr>
    </w:p>
    <w:p w14:paraId="79405D35" w14:textId="4F8F435E" w:rsidR="00A35DB9" w:rsidRDefault="00F75B45" w:rsidP="00F75B45">
      <w:pPr>
        <w:rPr>
          <w:rFonts w:cs="Arial"/>
          <w:color w:val="000000" w:themeColor="text1"/>
          <w:szCs w:val="22"/>
        </w:rPr>
      </w:pPr>
      <w:r w:rsidRPr="00F70C3D">
        <w:rPr>
          <w:rFonts w:cs="Arial"/>
          <w:color w:val="000000" w:themeColor="text1"/>
          <w:szCs w:val="22"/>
        </w:rPr>
        <w:t xml:space="preserve">Any statistically significant differences between </w:t>
      </w:r>
      <w:r>
        <w:rPr>
          <w:rFonts w:cs="Arial"/>
          <w:color w:val="000000" w:themeColor="text1"/>
          <w:szCs w:val="22"/>
          <w:shd w:val="clear" w:color="auto" w:fill="FFFFFF"/>
        </w:rPr>
        <w:t>MS11</w:t>
      </w:r>
      <w:r w:rsidRPr="00F70C3D">
        <w:rPr>
          <w:rFonts w:cs="Arial"/>
          <w:color w:val="000000" w:themeColor="text1"/>
          <w:szCs w:val="22"/>
          <w:shd w:val="clear" w:color="auto" w:fill="FFFFFF"/>
        </w:rPr>
        <w:t xml:space="preserve"> </w:t>
      </w:r>
      <w:r w:rsidRPr="00F70C3D">
        <w:rPr>
          <w:rFonts w:cs="Arial"/>
          <w:color w:val="000000" w:themeColor="text1"/>
          <w:szCs w:val="22"/>
        </w:rPr>
        <w:t xml:space="preserve">and the </w:t>
      </w:r>
      <w:r>
        <w:rPr>
          <w:color w:val="000000" w:themeColor="text1"/>
        </w:rPr>
        <w:t>N90-740</w:t>
      </w:r>
      <w:r w:rsidRPr="00F70C3D">
        <w:rPr>
          <w:rFonts w:cs="Arial"/>
          <w:color w:val="000000" w:themeColor="text1"/>
          <w:szCs w:val="22"/>
        </w:rPr>
        <w:t xml:space="preserve"> control have been compared to the 95% tolerance interval (i.e. 95% confidence that the interval contains 99% of the values expressed in the commercial lines) com</w:t>
      </w:r>
      <w:r>
        <w:rPr>
          <w:rFonts w:cs="Arial"/>
          <w:color w:val="000000" w:themeColor="text1"/>
          <w:szCs w:val="22"/>
        </w:rPr>
        <w:t>piled from the results of the six</w:t>
      </w:r>
      <w:r w:rsidRPr="00F70C3D">
        <w:rPr>
          <w:rFonts w:cs="Arial"/>
          <w:color w:val="000000" w:themeColor="text1"/>
          <w:szCs w:val="22"/>
        </w:rPr>
        <w:t xml:space="preserve"> commercial reference lines combined across all sites, to assess whether the differences are likely to be biologically meaningful. Additi</w:t>
      </w:r>
      <w:r>
        <w:rPr>
          <w:rFonts w:cs="Arial"/>
          <w:color w:val="000000" w:themeColor="text1"/>
          <w:szCs w:val="22"/>
        </w:rPr>
        <w:t>onally, the results for MS11 and N90-740</w:t>
      </w:r>
      <w:r w:rsidRPr="00F70C3D">
        <w:rPr>
          <w:rFonts w:cs="Arial"/>
          <w:color w:val="000000" w:themeColor="text1"/>
          <w:szCs w:val="22"/>
        </w:rPr>
        <w:t xml:space="preserve"> have been compared to a combined literature range </w:t>
      </w:r>
      <w:r>
        <w:rPr>
          <w:rFonts w:cs="Arial"/>
          <w:color w:val="000000" w:themeColor="text1"/>
          <w:szCs w:val="22"/>
        </w:rPr>
        <w:t xml:space="preserve">(where available) </w:t>
      </w:r>
      <w:r w:rsidRPr="00F70C3D">
        <w:rPr>
          <w:rFonts w:cs="Arial"/>
          <w:color w:val="000000" w:themeColor="text1"/>
          <w:szCs w:val="22"/>
        </w:rPr>
        <w:t>for each analyte, compiled from published literature for commercially avail</w:t>
      </w:r>
      <w:r>
        <w:rPr>
          <w:rFonts w:cs="Arial"/>
          <w:color w:val="000000" w:themeColor="text1"/>
          <w:szCs w:val="22"/>
        </w:rPr>
        <w:t>able canola</w:t>
      </w:r>
      <w:r w:rsidRPr="00F70C3D">
        <w:rPr>
          <w:rFonts w:cs="Arial"/>
          <w:color w:val="000000" w:themeColor="text1"/>
          <w:szCs w:val="22"/>
          <w:vertAlign w:val="superscript"/>
        </w:rPr>
        <w:footnoteReference w:id="21"/>
      </w:r>
      <w:r w:rsidRPr="00F70C3D">
        <w:rPr>
          <w:rFonts w:cs="Arial"/>
          <w:color w:val="000000" w:themeColor="text1"/>
          <w:szCs w:val="22"/>
        </w:rPr>
        <w:t xml:space="preserve">. It is noted, however, that information in the published literature is limited and is unlikely to provide </w:t>
      </w:r>
      <w:r w:rsidRPr="00FF26D4">
        <w:rPr>
          <w:rFonts w:cs="Arial"/>
          <w:color w:val="000000" w:themeColor="text1"/>
          <w:szCs w:val="22"/>
        </w:rPr>
        <w:t>a broad reflection of the natural d</w:t>
      </w:r>
      <w:r>
        <w:rPr>
          <w:rFonts w:cs="Arial"/>
          <w:color w:val="000000" w:themeColor="text1"/>
          <w:szCs w:val="22"/>
        </w:rPr>
        <w:t>iversity that occurs within canola</w:t>
      </w:r>
      <w:r w:rsidRPr="00FF26D4">
        <w:rPr>
          <w:rFonts w:cs="Arial"/>
          <w:color w:val="000000" w:themeColor="text1"/>
          <w:szCs w:val="22"/>
        </w:rPr>
        <w:t xml:space="preserve"> </w:t>
      </w:r>
      <w:r>
        <w:rPr>
          <w:rFonts w:cs="Arial"/>
          <w:noProof/>
          <w:color w:val="000000" w:themeColor="text1"/>
          <w:szCs w:val="22"/>
        </w:rPr>
        <w:t>(Harrigan et al. 2010)</w:t>
      </w:r>
      <w:r w:rsidRPr="00FF26D4">
        <w:rPr>
          <w:rFonts w:cs="Arial"/>
          <w:color w:val="000000" w:themeColor="text1"/>
          <w:szCs w:val="22"/>
        </w:rPr>
        <w:t>. Therefore, even if means fall outside the published range, this is unlikely to raise a concern.</w:t>
      </w:r>
      <w:r w:rsidR="00A35DB9">
        <w:rPr>
          <w:rFonts w:cs="Arial"/>
          <w:color w:val="000000" w:themeColor="text1"/>
          <w:szCs w:val="22"/>
        </w:rPr>
        <w:br w:type="page"/>
      </w:r>
    </w:p>
    <w:p w14:paraId="2D83A646" w14:textId="77777777" w:rsidR="0033454E" w:rsidRPr="00B14C3B" w:rsidRDefault="0033454E" w:rsidP="0033454E">
      <w:pPr>
        <w:widowControl/>
        <w:autoSpaceDE w:val="0"/>
        <w:autoSpaceDN w:val="0"/>
        <w:adjustRightInd w:val="0"/>
        <w:rPr>
          <w:rFonts w:cs="Arial"/>
          <w:color w:val="000000" w:themeColor="text1"/>
          <w:szCs w:val="22"/>
          <w:lang w:eastAsia="en-GB" w:bidi="ar-SA"/>
        </w:rPr>
      </w:pPr>
      <w:r w:rsidRPr="00B14C3B">
        <w:rPr>
          <w:rFonts w:cs="Arial"/>
          <w:color w:val="000000" w:themeColor="text1"/>
          <w:szCs w:val="22"/>
          <w:lang w:eastAsia="en-GB" w:bidi="ar-SA"/>
        </w:rPr>
        <w:lastRenderedPageBreak/>
        <w:t>Seed samples were analysed for proximates, fibre, fatty acids, amino acids, minerals, vitamins, anti-nutrients (phytic acid, tannins and sinapine) and glucosinolates</w:t>
      </w:r>
      <w:r w:rsidRPr="00A36476">
        <w:rPr>
          <w:rFonts w:cs="Arial"/>
          <w:color w:val="000000" w:themeColor="text1"/>
          <w:szCs w:val="22"/>
          <w:lang w:eastAsia="en-GB" w:bidi="ar-SA"/>
        </w:rPr>
        <w:t xml:space="preserve">. </w:t>
      </w:r>
      <w:r w:rsidRPr="00A36476">
        <w:rPr>
          <w:rFonts w:cs="Arial"/>
          <w:color w:val="000000" w:themeColor="text1"/>
          <w:szCs w:val="22"/>
        </w:rPr>
        <w:t>In total, 86 analyte levels were measured, and carbohydrate was calculated rather than being measured i.e. there were 87 analytes considered. A total of 30 analytes had more than 33% of the observations below the assay limit of quantitation (LOQ) and were excluded from the statistical analysis. The data for 57 analytes were therefore analysed.</w:t>
      </w:r>
    </w:p>
    <w:p w14:paraId="2E8EA785" w14:textId="77777777" w:rsidR="0033454E" w:rsidRPr="00B14C3B" w:rsidRDefault="0033454E" w:rsidP="0033454E">
      <w:pPr>
        <w:rPr>
          <w:rFonts w:cs="Arial"/>
          <w:bCs/>
          <w:color w:val="000000" w:themeColor="text1"/>
          <w:szCs w:val="22"/>
        </w:rPr>
      </w:pPr>
    </w:p>
    <w:p w14:paraId="31BD55DC" w14:textId="77777777" w:rsidR="0033454E" w:rsidRPr="00F70C3D" w:rsidRDefault="0033454E" w:rsidP="0033454E">
      <w:pPr>
        <w:autoSpaceDE w:val="0"/>
        <w:autoSpaceDN w:val="0"/>
        <w:adjustRightInd w:val="0"/>
        <w:rPr>
          <w:rFonts w:ascii="TimesNewRomanPSMT" w:eastAsiaTheme="minorHAnsi" w:hAnsi="TimesNewRomanPSMT" w:cs="TimesNewRomanPSMT"/>
          <w:sz w:val="24"/>
        </w:rPr>
      </w:pPr>
      <w:r w:rsidRPr="00F70C3D">
        <w:rPr>
          <w:rFonts w:cs="Arial"/>
          <w:color w:val="000000" w:themeColor="text1"/>
          <w:szCs w:val="22"/>
        </w:rPr>
        <w:t>Data were transformed into Statistical Analysis Software</w:t>
      </w:r>
      <w:r w:rsidRPr="00F70C3D">
        <w:rPr>
          <w:rStyle w:val="FootnoteReference"/>
          <w:rFonts w:cs="Arial"/>
          <w:color w:val="000000" w:themeColor="text1"/>
          <w:szCs w:val="22"/>
        </w:rPr>
        <w:footnoteReference w:id="22"/>
      </w:r>
      <w:r w:rsidRPr="00F70C3D">
        <w:rPr>
          <w:rFonts w:cs="Arial"/>
          <w:color w:val="000000" w:themeColor="text1"/>
          <w:szCs w:val="22"/>
        </w:rPr>
        <w:t xml:space="preserve"> </w:t>
      </w:r>
      <w:r w:rsidRPr="00A62A8C">
        <w:rPr>
          <w:rFonts w:cs="Arial"/>
          <w:color w:val="000000" w:themeColor="text1"/>
          <w:szCs w:val="22"/>
        </w:rPr>
        <w:t>(SAS) data</w:t>
      </w:r>
      <w:r w:rsidRPr="00F70C3D">
        <w:rPr>
          <w:rFonts w:cs="Arial"/>
          <w:color w:val="000000" w:themeColor="text1"/>
          <w:szCs w:val="22"/>
        </w:rPr>
        <w:t xml:space="preserve"> sets and analyse</w:t>
      </w:r>
      <w:r>
        <w:rPr>
          <w:rFonts w:cs="Arial"/>
          <w:color w:val="000000" w:themeColor="text1"/>
          <w:szCs w:val="22"/>
        </w:rPr>
        <w:t>d using SAS® software (SAS, version 9.3</w:t>
      </w:r>
      <w:r w:rsidRPr="00F70C3D">
        <w:rPr>
          <w:rFonts w:cs="Arial"/>
          <w:color w:val="000000" w:themeColor="text1"/>
          <w:szCs w:val="22"/>
        </w:rPr>
        <w:t xml:space="preserve">). </w:t>
      </w:r>
      <w:r w:rsidRPr="00F70C3D">
        <w:rPr>
          <w:rFonts w:eastAsiaTheme="minorHAnsi" w:cs="Arial"/>
          <w:color w:val="000000" w:themeColor="text1"/>
          <w:szCs w:val="22"/>
        </w:rPr>
        <w:t>The SAS GLM procedure was applied to all data (test, control and reference) to detect potential outliers in the dataset by screening studentised PRESS residuals</w:t>
      </w:r>
      <w:r w:rsidRPr="00F70C3D">
        <w:rPr>
          <w:rStyle w:val="FootnoteReference"/>
          <w:rFonts w:eastAsiaTheme="minorHAnsi" w:cs="Arial"/>
          <w:color w:val="000000" w:themeColor="text1"/>
          <w:szCs w:val="22"/>
        </w:rPr>
        <w:footnoteReference w:id="23"/>
      </w:r>
      <w:r w:rsidRPr="00F70C3D">
        <w:rPr>
          <w:rFonts w:eastAsiaTheme="minorHAnsi" w:cs="Arial"/>
          <w:color w:val="000000" w:themeColor="text1"/>
          <w:szCs w:val="22"/>
        </w:rPr>
        <w:t>.</w:t>
      </w:r>
      <w:r>
        <w:rPr>
          <w:rFonts w:eastAsiaTheme="minorHAnsi" w:cs="Arial"/>
          <w:color w:val="000000" w:themeColor="text1"/>
          <w:szCs w:val="22"/>
        </w:rPr>
        <w:t xml:space="preserve"> None of the values was considered to be an outlier.</w:t>
      </w:r>
    </w:p>
    <w:p w14:paraId="4793A9C5" w14:textId="77777777" w:rsidR="0033454E" w:rsidRDefault="0033454E" w:rsidP="0033454E">
      <w:pPr>
        <w:autoSpaceDE w:val="0"/>
        <w:autoSpaceDN w:val="0"/>
        <w:adjustRightInd w:val="0"/>
        <w:rPr>
          <w:rFonts w:eastAsiaTheme="minorHAnsi" w:cs="Arial"/>
          <w:color w:val="000000" w:themeColor="text1"/>
          <w:szCs w:val="22"/>
        </w:rPr>
      </w:pPr>
    </w:p>
    <w:p w14:paraId="6E61F4DE" w14:textId="3F95B881" w:rsidR="00F75B45" w:rsidRPr="00B14C3B" w:rsidRDefault="00F75B45" w:rsidP="00F75B45">
      <w:pPr>
        <w:widowControl/>
        <w:autoSpaceDE w:val="0"/>
        <w:autoSpaceDN w:val="0"/>
        <w:adjustRightInd w:val="0"/>
        <w:rPr>
          <w:rFonts w:cs="Arial"/>
          <w:color w:val="000000" w:themeColor="text1"/>
          <w:szCs w:val="22"/>
          <w:lang w:eastAsia="en-GB" w:bidi="ar-SA"/>
        </w:rPr>
      </w:pPr>
      <w:r w:rsidRPr="00B14C3B">
        <w:rPr>
          <w:rFonts w:cs="Arial"/>
          <w:color w:val="000000" w:themeColor="text1"/>
          <w:szCs w:val="22"/>
          <w:lang w:eastAsia="en-GB" w:bidi="ar-SA"/>
        </w:rPr>
        <w:t xml:space="preserve">Bad weather (flooding) at one site (Case – North Dakota, </w:t>
      </w:r>
      <w:r w:rsidR="00F97F7B">
        <w:rPr>
          <w:rFonts w:cs="Arial"/>
          <w:color w:val="000000" w:themeColor="text1"/>
          <w:szCs w:val="22"/>
          <w:lang w:eastAsia="en-GB" w:bidi="ar-SA"/>
        </w:rPr>
        <w:t>USA</w:t>
      </w:r>
      <w:r w:rsidRPr="00B14C3B">
        <w:rPr>
          <w:rFonts w:cs="Arial"/>
          <w:color w:val="000000" w:themeColor="text1"/>
          <w:szCs w:val="22"/>
          <w:lang w:eastAsia="en-GB" w:bidi="ar-SA"/>
        </w:rPr>
        <w:t>) caused significant damage to the plots and this site was therefore removed from the statistical consideration.</w:t>
      </w:r>
    </w:p>
    <w:p w14:paraId="6350C09E" w14:textId="77777777" w:rsidR="0033454E" w:rsidRPr="001B5342" w:rsidRDefault="0033454E" w:rsidP="0033454E">
      <w:pPr>
        <w:pStyle w:val="Heading3"/>
      </w:pPr>
      <w:r w:rsidRPr="001B5342">
        <w:t>5.3.1</w:t>
      </w:r>
      <w:r w:rsidRPr="001B5342">
        <w:tab/>
        <w:t>Proximates and fibre</w:t>
      </w:r>
    </w:p>
    <w:p w14:paraId="2BFA4AC3" w14:textId="77777777" w:rsidR="0033454E" w:rsidRDefault="0033454E" w:rsidP="0033454E">
      <w:pPr>
        <w:widowControl/>
        <w:autoSpaceDE w:val="0"/>
        <w:autoSpaceDN w:val="0"/>
        <w:adjustRightInd w:val="0"/>
        <w:rPr>
          <w:rFonts w:cs="Arial"/>
          <w:color w:val="000000" w:themeColor="text1"/>
          <w:szCs w:val="22"/>
          <w:lang w:eastAsia="en-GB" w:bidi="ar-SA"/>
        </w:rPr>
      </w:pPr>
      <w:r w:rsidRPr="00420FFA">
        <w:rPr>
          <w:rFonts w:cs="Arial"/>
          <w:color w:val="000000" w:themeColor="text1"/>
          <w:szCs w:val="22"/>
        </w:rPr>
        <w:t xml:space="preserve">The results are given </w:t>
      </w:r>
      <w:r w:rsidRPr="004F4FDA">
        <w:rPr>
          <w:rFonts w:cs="Arial"/>
          <w:color w:val="000000" w:themeColor="text1"/>
          <w:szCs w:val="22"/>
        </w:rPr>
        <w:t>in Table 5 and</w:t>
      </w:r>
      <w:r w:rsidRPr="00420FFA">
        <w:rPr>
          <w:rFonts w:cs="Arial"/>
          <w:color w:val="000000" w:themeColor="text1"/>
          <w:szCs w:val="22"/>
        </w:rPr>
        <w:t xml:space="preserve"> show there was no significant difference between the means for unsprayed MS11 and those for the control for any analyte measured. For sprayed MS11, levels of protein, fat, acid detergent </w:t>
      </w:r>
      <w:r w:rsidRPr="00A62A8C">
        <w:rPr>
          <w:rFonts w:cs="Arial"/>
          <w:color w:val="000000" w:themeColor="text1"/>
          <w:szCs w:val="22"/>
        </w:rPr>
        <w:t>fibre (ADF) and neutral detergent fibre (NDF)</w:t>
      </w:r>
      <w:r w:rsidRPr="00420FFA">
        <w:rPr>
          <w:rFonts w:cs="Arial"/>
          <w:color w:val="000000" w:themeColor="text1"/>
          <w:szCs w:val="22"/>
        </w:rPr>
        <w:t xml:space="preserve"> were significantly lower than those in the control and the levels of ash and moisture were significantly higher than those in the control. However, </w:t>
      </w:r>
      <w:r w:rsidRPr="00420FFA">
        <w:rPr>
          <w:rFonts w:cs="Arial"/>
          <w:color w:val="000000" w:themeColor="text1"/>
          <w:szCs w:val="22"/>
          <w:lang w:eastAsia="en-GB" w:bidi="ar-SA"/>
        </w:rPr>
        <w:t xml:space="preserve">the means for all entries, </w:t>
      </w:r>
      <w:r>
        <w:rPr>
          <w:rFonts w:cs="Arial"/>
          <w:color w:val="000000" w:themeColor="text1"/>
          <w:szCs w:val="22"/>
          <w:lang w:eastAsia="en-GB" w:bidi="ar-SA"/>
        </w:rPr>
        <w:t>for all proximates and fibre</w:t>
      </w:r>
      <w:r w:rsidRPr="00420FFA">
        <w:rPr>
          <w:rFonts w:cs="Arial"/>
          <w:color w:val="000000" w:themeColor="text1"/>
          <w:szCs w:val="22"/>
          <w:lang w:eastAsia="en-GB" w:bidi="ar-SA"/>
        </w:rPr>
        <w:t>, were within the range of the reference varieties and the tolerance intervals.</w:t>
      </w:r>
    </w:p>
    <w:p w14:paraId="3C12DAC1" w14:textId="77777777" w:rsidR="0033454E" w:rsidRPr="00420FFA" w:rsidRDefault="0033454E" w:rsidP="0033454E">
      <w:pPr>
        <w:widowControl/>
        <w:autoSpaceDE w:val="0"/>
        <w:autoSpaceDN w:val="0"/>
        <w:adjustRightInd w:val="0"/>
        <w:rPr>
          <w:rFonts w:cs="Arial"/>
          <w:color w:val="000000" w:themeColor="text1"/>
          <w:szCs w:val="22"/>
          <w:lang w:eastAsia="en-GB" w:bidi="ar-SA"/>
        </w:rPr>
      </w:pPr>
    </w:p>
    <w:p w14:paraId="3A5EF5A1" w14:textId="77777777" w:rsidR="0033454E" w:rsidRPr="00C63B93" w:rsidRDefault="0033454E" w:rsidP="001E4C6F">
      <w:bookmarkStart w:id="40" w:name="_Toc481574640"/>
      <w:r w:rsidRPr="001E4C6F">
        <w:rPr>
          <w:b/>
        </w:rPr>
        <w:t xml:space="preserve">Table </w:t>
      </w:r>
      <w:r w:rsidRPr="001E4C6F">
        <w:rPr>
          <w:b/>
        </w:rPr>
        <w:fldChar w:fldCharType="begin"/>
      </w:r>
      <w:r w:rsidRPr="001E4C6F">
        <w:rPr>
          <w:b/>
        </w:rPr>
        <w:instrText xml:space="preserve"> SEQ Table \* ARABIC </w:instrText>
      </w:r>
      <w:r w:rsidRPr="001E4C6F">
        <w:rPr>
          <w:b/>
        </w:rPr>
        <w:fldChar w:fldCharType="separate"/>
      </w:r>
      <w:r w:rsidR="007D76F3" w:rsidRPr="001E4C6F">
        <w:rPr>
          <w:b/>
          <w:noProof/>
        </w:rPr>
        <w:t>5</w:t>
      </w:r>
      <w:r w:rsidRPr="001E4C6F">
        <w:rPr>
          <w:b/>
        </w:rPr>
        <w:fldChar w:fldCharType="end"/>
      </w:r>
      <w:r w:rsidRPr="001E4C6F">
        <w:rPr>
          <w:b/>
        </w:rPr>
        <w:t>: Mean percentage ±SD of proximates and fibre in seed of MS11 and the N90-740 control collected from nine locations</w:t>
      </w:r>
      <w:bookmarkEnd w:id="40"/>
    </w:p>
    <w:p w14:paraId="68020152" w14:textId="77777777" w:rsidR="0033454E" w:rsidRPr="00420FFA" w:rsidRDefault="0033454E" w:rsidP="0033454E">
      <w:pPr>
        <w:rPr>
          <w:color w:val="000000" w:themeColor="text1"/>
          <w:lang w:val="en-AU" w:bidi="ar-SA"/>
        </w:rPr>
      </w:pP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1134"/>
        <w:gridCol w:w="1134"/>
        <w:gridCol w:w="1093"/>
        <w:gridCol w:w="992"/>
        <w:gridCol w:w="1134"/>
        <w:gridCol w:w="1134"/>
        <w:gridCol w:w="1418"/>
      </w:tblGrid>
      <w:tr w:rsidR="0033454E" w:rsidRPr="00420FFA" w14:paraId="510BB76A" w14:textId="77777777" w:rsidTr="001E4C6F">
        <w:trPr>
          <w:trHeight w:val="880"/>
          <w:tblHeader/>
          <w:jc w:val="center"/>
        </w:trPr>
        <w:tc>
          <w:tcPr>
            <w:tcW w:w="1219" w:type="dxa"/>
            <w:tcBorders>
              <w:bottom w:val="single" w:sz="4" w:space="0" w:color="auto"/>
            </w:tcBorders>
            <w:shd w:val="clear" w:color="auto" w:fill="9BBB59" w:themeFill="accent3"/>
            <w:noWrap/>
            <w:vAlign w:val="center"/>
          </w:tcPr>
          <w:p w14:paraId="2FF98CD8"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Analyte</w:t>
            </w:r>
            <w:r w:rsidRPr="001E4C6F">
              <w:rPr>
                <w:rFonts w:cs="Arial"/>
                <w:b/>
                <w:bCs/>
                <w:color w:val="FFFFFF" w:themeColor="background1"/>
                <w:sz w:val="18"/>
                <w:szCs w:val="18"/>
                <w:vertAlign w:val="superscript"/>
              </w:rPr>
              <w:t>1</w:t>
            </w:r>
          </w:p>
        </w:tc>
        <w:tc>
          <w:tcPr>
            <w:tcW w:w="1134" w:type="dxa"/>
            <w:tcBorders>
              <w:bottom w:val="single" w:sz="4" w:space="0" w:color="auto"/>
            </w:tcBorders>
            <w:shd w:val="clear" w:color="auto" w:fill="9BBB59" w:themeFill="accent3"/>
            <w:vAlign w:val="center"/>
          </w:tcPr>
          <w:p w14:paraId="139CFD15" w14:textId="77777777" w:rsidR="0033454E" w:rsidRPr="001E4C6F" w:rsidRDefault="0033454E" w:rsidP="0033454E">
            <w:pPr>
              <w:jc w:val="center"/>
              <w:rPr>
                <w:rFonts w:eastAsiaTheme="minorHAnsi" w:cs="Arial"/>
                <w:b/>
                <w:color w:val="FFFFFF" w:themeColor="background1"/>
                <w:sz w:val="18"/>
                <w:szCs w:val="18"/>
              </w:rPr>
            </w:pPr>
            <w:r w:rsidRPr="001E4C6F">
              <w:rPr>
                <w:rFonts w:eastAsiaTheme="minorHAnsi" w:cs="Arial"/>
                <w:b/>
                <w:color w:val="FFFFFF" w:themeColor="background1"/>
                <w:sz w:val="18"/>
                <w:szCs w:val="18"/>
              </w:rPr>
              <w:t xml:space="preserve">N90-740 </w:t>
            </w:r>
          </w:p>
          <w:p w14:paraId="08A5D477" w14:textId="77777777" w:rsidR="0033454E" w:rsidRPr="001E4C6F" w:rsidRDefault="0033454E" w:rsidP="0033454E">
            <w:pPr>
              <w:jc w:val="center"/>
              <w:rPr>
                <w:rFonts w:cs="Arial"/>
                <w:b/>
                <w:bCs/>
                <w:color w:val="FFFFFF" w:themeColor="background1"/>
                <w:sz w:val="18"/>
                <w:szCs w:val="18"/>
              </w:rPr>
            </w:pPr>
            <w:r w:rsidRPr="001E4C6F">
              <w:rPr>
                <w:rFonts w:eastAsiaTheme="minorHAnsi" w:cs="Arial"/>
                <w:b/>
                <w:color w:val="FFFFFF" w:themeColor="background1"/>
                <w:sz w:val="18"/>
                <w:szCs w:val="18"/>
              </w:rPr>
              <w:t>(A)</w:t>
            </w:r>
          </w:p>
        </w:tc>
        <w:tc>
          <w:tcPr>
            <w:tcW w:w="1134" w:type="dxa"/>
            <w:tcBorders>
              <w:bottom w:val="single" w:sz="4" w:space="0" w:color="auto"/>
            </w:tcBorders>
            <w:shd w:val="clear" w:color="auto" w:fill="9BBB59" w:themeFill="accent3"/>
            <w:vAlign w:val="center"/>
          </w:tcPr>
          <w:p w14:paraId="5CD497CB" w14:textId="77777777" w:rsidR="0033454E" w:rsidRPr="001E4C6F" w:rsidRDefault="0033454E" w:rsidP="0033454E">
            <w:pPr>
              <w:jc w:val="center"/>
              <w:rPr>
                <w:rFonts w:eastAsiaTheme="minorHAnsi" w:cs="Arial"/>
                <w:b/>
                <w:color w:val="FFFFFF" w:themeColor="background1"/>
                <w:sz w:val="18"/>
                <w:szCs w:val="18"/>
              </w:rPr>
            </w:pPr>
            <w:r w:rsidRPr="001E4C6F">
              <w:rPr>
                <w:rFonts w:eastAsiaTheme="minorHAnsi" w:cs="Arial"/>
                <w:b/>
                <w:color w:val="FFFFFF" w:themeColor="background1"/>
                <w:sz w:val="18"/>
                <w:szCs w:val="18"/>
              </w:rPr>
              <w:t>MS11 unsprayed (B)</w:t>
            </w:r>
          </w:p>
        </w:tc>
        <w:tc>
          <w:tcPr>
            <w:tcW w:w="1093" w:type="dxa"/>
            <w:tcBorders>
              <w:bottom w:val="single" w:sz="4" w:space="0" w:color="auto"/>
            </w:tcBorders>
            <w:shd w:val="clear" w:color="auto" w:fill="9BBB59" w:themeFill="accent3"/>
            <w:vAlign w:val="center"/>
          </w:tcPr>
          <w:p w14:paraId="62D03A49"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 xml:space="preserve">MS11 sprayed </w:t>
            </w:r>
          </w:p>
          <w:p w14:paraId="6958DFCE"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(C)</w:t>
            </w:r>
          </w:p>
        </w:tc>
        <w:tc>
          <w:tcPr>
            <w:tcW w:w="992" w:type="dxa"/>
            <w:tcBorders>
              <w:bottom w:val="single" w:sz="4" w:space="0" w:color="auto"/>
            </w:tcBorders>
            <w:shd w:val="clear" w:color="auto" w:fill="9BBB59" w:themeFill="accent3"/>
            <w:vAlign w:val="center"/>
          </w:tcPr>
          <w:p w14:paraId="118EC126"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p-value</w:t>
            </w:r>
          </w:p>
          <w:p w14:paraId="2C948415" w14:textId="77777777" w:rsidR="0033454E" w:rsidRPr="001E4C6F" w:rsidRDefault="0033454E" w:rsidP="0033454E">
            <w:pPr>
              <w:jc w:val="center"/>
              <w:rPr>
                <w:rFonts w:cs="Arial"/>
                <w:b/>
                <w:bCs/>
                <w:color w:val="FFFFFF" w:themeColor="background1"/>
                <w:sz w:val="18"/>
                <w:szCs w:val="18"/>
                <w:vertAlign w:val="superscript"/>
              </w:rPr>
            </w:pPr>
            <w:r w:rsidRPr="001E4C6F">
              <w:rPr>
                <w:rFonts w:cs="Arial"/>
                <w:b/>
                <w:bCs/>
                <w:color w:val="FFFFFF" w:themeColor="background1"/>
                <w:sz w:val="18"/>
                <w:szCs w:val="18"/>
              </w:rPr>
              <w:t xml:space="preserve"> A vs B</w:t>
            </w:r>
            <w:r w:rsidRPr="001E4C6F">
              <w:rPr>
                <w:rFonts w:cs="Arial"/>
                <w:b/>
                <w:bCs/>
                <w:color w:val="FFFFFF" w:themeColor="background1"/>
                <w:sz w:val="18"/>
                <w:szCs w:val="18"/>
                <w:vertAlign w:val="superscript"/>
              </w:rPr>
              <w:t>3</w:t>
            </w:r>
          </w:p>
        </w:tc>
        <w:tc>
          <w:tcPr>
            <w:tcW w:w="1134" w:type="dxa"/>
            <w:tcBorders>
              <w:bottom w:val="single" w:sz="4" w:space="0" w:color="auto"/>
            </w:tcBorders>
            <w:shd w:val="clear" w:color="auto" w:fill="9BBB59" w:themeFill="accent3"/>
            <w:vAlign w:val="center"/>
          </w:tcPr>
          <w:p w14:paraId="589BD2B9"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p-value</w:t>
            </w:r>
          </w:p>
          <w:p w14:paraId="6CEFECC7"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A vs C</w:t>
            </w:r>
          </w:p>
        </w:tc>
        <w:tc>
          <w:tcPr>
            <w:tcW w:w="1134" w:type="dxa"/>
            <w:tcBorders>
              <w:bottom w:val="single" w:sz="4" w:space="0" w:color="auto"/>
            </w:tcBorders>
            <w:shd w:val="clear" w:color="auto" w:fill="9BBB59" w:themeFill="accent3"/>
            <w:vAlign w:val="center"/>
          </w:tcPr>
          <w:p w14:paraId="4B5B8BDF"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95% Tolerance interval</w:t>
            </w:r>
          </w:p>
        </w:tc>
        <w:tc>
          <w:tcPr>
            <w:tcW w:w="1418" w:type="dxa"/>
            <w:tcBorders>
              <w:bottom w:val="single" w:sz="4" w:space="0" w:color="auto"/>
            </w:tcBorders>
            <w:shd w:val="clear" w:color="auto" w:fill="9BBB59" w:themeFill="accent3"/>
            <w:vAlign w:val="center"/>
          </w:tcPr>
          <w:p w14:paraId="1211D457"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Combined literature</w:t>
            </w:r>
            <w:r w:rsidRPr="001E4C6F">
              <w:rPr>
                <w:rFonts w:cs="Arial"/>
                <w:b/>
                <w:bCs/>
                <w:color w:val="FFFFFF" w:themeColor="background1"/>
                <w:sz w:val="18"/>
                <w:szCs w:val="18"/>
              </w:rPr>
              <w:br/>
              <w:t xml:space="preserve">range </w:t>
            </w:r>
          </w:p>
        </w:tc>
      </w:tr>
      <w:tr w:rsidR="0033454E" w:rsidRPr="00420FFA" w14:paraId="72650A99" w14:textId="77777777" w:rsidTr="001E4C6F">
        <w:trPr>
          <w:trHeight w:val="510"/>
          <w:jc w:val="center"/>
        </w:trPr>
        <w:tc>
          <w:tcPr>
            <w:tcW w:w="1219" w:type="dxa"/>
            <w:shd w:val="clear" w:color="auto" w:fill="auto"/>
            <w:noWrap/>
            <w:vAlign w:val="center"/>
          </w:tcPr>
          <w:p w14:paraId="498844F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Protein (%)</w:t>
            </w:r>
          </w:p>
        </w:tc>
        <w:tc>
          <w:tcPr>
            <w:tcW w:w="1134" w:type="dxa"/>
            <w:vAlign w:val="center"/>
          </w:tcPr>
          <w:p w14:paraId="0BCB4B7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28.4±2.3</w:t>
            </w:r>
          </w:p>
        </w:tc>
        <w:tc>
          <w:tcPr>
            <w:tcW w:w="1134" w:type="dxa"/>
            <w:vAlign w:val="center"/>
          </w:tcPr>
          <w:p w14:paraId="111AFED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29.1±2.5</w:t>
            </w:r>
          </w:p>
        </w:tc>
        <w:tc>
          <w:tcPr>
            <w:tcW w:w="1093" w:type="dxa"/>
            <w:shd w:val="clear" w:color="auto" w:fill="FDE9D9" w:themeFill="accent6" w:themeFillTint="33"/>
            <w:vAlign w:val="center"/>
          </w:tcPr>
          <w:p w14:paraId="53AFDD3E"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29.6±1.3</w:t>
            </w:r>
            <w:r w:rsidRPr="001E4C6F">
              <w:rPr>
                <w:rFonts w:cs="Arial"/>
                <w:color w:val="000000" w:themeColor="text1"/>
                <w:sz w:val="18"/>
                <w:szCs w:val="18"/>
                <w:vertAlign w:val="superscript"/>
              </w:rPr>
              <w:t>4</w:t>
            </w:r>
          </w:p>
        </w:tc>
        <w:tc>
          <w:tcPr>
            <w:tcW w:w="992" w:type="dxa"/>
            <w:vAlign w:val="center"/>
          </w:tcPr>
          <w:p w14:paraId="1CC76A8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0.213</w:t>
            </w:r>
          </w:p>
        </w:tc>
        <w:tc>
          <w:tcPr>
            <w:tcW w:w="1134" w:type="dxa"/>
            <w:vAlign w:val="center"/>
          </w:tcPr>
          <w:p w14:paraId="294E1F6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0.006</w:t>
            </w:r>
          </w:p>
        </w:tc>
        <w:tc>
          <w:tcPr>
            <w:tcW w:w="1134" w:type="dxa"/>
            <w:vAlign w:val="center"/>
          </w:tcPr>
          <w:p w14:paraId="35165C0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21.0, 35.6</w:t>
            </w:r>
          </w:p>
        </w:tc>
        <w:tc>
          <w:tcPr>
            <w:tcW w:w="1418" w:type="dxa"/>
            <w:shd w:val="clear" w:color="auto" w:fill="auto"/>
            <w:noWrap/>
            <w:vAlign w:val="center"/>
          </w:tcPr>
          <w:p w14:paraId="35D61EB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17.4 – 44.3</w:t>
            </w:r>
          </w:p>
        </w:tc>
      </w:tr>
      <w:tr w:rsidR="0033454E" w:rsidRPr="00420FFA" w14:paraId="7A7E3AC7" w14:textId="77777777" w:rsidTr="001E4C6F">
        <w:trPr>
          <w:trHeight w:val="510"/>
          <w:jc w:val="center"/>
        </w:trPr>
        <w:tc>
          <w:tcPr>
            <w:tcW w:w="1219" w:type="dxa"/>
            <w:shd w:val="clear" w:color="auto" w:fill="EAF1DD" w:themeFill="accent3" w:themeFillTint="33"/>
            <w:noWrap/>
            <w:vAlign w:val="center"/>
          </w:tcPr>
          <w:p w14:paraId="295491A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Fat (%)</w:t>
            </w:r>
          </w:p>
        </w:tc>
        <w:tc>
          <w:tcPr>
            <w:tcW w:w="1134" w:type="dxa"/>
            <w:shd w:val="clear" w:color="auto" w:fill="EAF1DD" w:themeFill="accent3" w:themeFillTint="33"/>
            <w:vAlign w:val="center"/>
          </w:tcPr>
          <w:p w14:paraId="2C64C07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37.1±4.6</w:t>
            </w:r>
          </w:p>
        </w:tc>
        <w:tc>
          <w:tcPr>
            <w:tcW w:w="1134" w:type="dxa"/>
            <w:shd w:val="clear" w:color="auto" w:fill="EAF1DD" w:themeFill="accent3" w:themeFillTint="33"/>
            <w:vAlign w:val="center"/>
          </w:tcPr>
          <w:p w14:paraId="30382DF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36.5±4.3</w:t>
            </w:r>
          </w:p>
        </w:tc>
        <w:tc>
          <w:tcPr>
            <w:tcW w:w="1093" w:type="dxa"/>
            <w:shd w:val="clear" w:color="auto" w:fill="E5DFEC" w:themeFill="accent4" w:themeFillTint="33"/>
            <w:vAlign w:val="center"/>
          </w:tcPr>
          <w:p w14:paraId="7647E798"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33.8±4.7</w:t>
            </w:r>
            <w:r w:rsidRPr="001E4C6F">
              <w:rPr>
                <w:rFonts w:cs="Arial"/>
                <w:color w:val="000000" w:themeColor="text1"/>
                <w:sz w:val="18"/>
                <w:szCs w:val="18"/>
                <w:vertAlign w:val="superscript"/>
              </w:rPr>
              <w:t>4</w:t>
            </w:r>
          </w:p>
        </w:tc>
        <w:tc>
          <w:tcPr>
            <w:tcW w:w="992" w:type="dxa"/>
            <w:shd w:val="clear" w:color="auto" w:fill="EAF1DD" w:themeFill="accent3" w:themeFillTint="33"/>
            <w:vAlign w:val="center"/>
          </w:tcPr>
          <w:p w14:paraId="3F8C990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0.261</w:t>
            </w:r>
          </w:p>
        </w:tc>
        <w:tc>
          <w:tcPr>
            <w:tcW w:w="1134" w:type="dxa"/>
            <w:shd w:val="clear" w:color="auto" w:fill="EAF1DD" w:themeFill="accent3" w:themeFillTint="33"/>
            <w:vAlign w:val="center"/>
          </w:tcPr>
          <w:p w14:paraId="0FD736C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134" w:type="dxa"/>
            <w:shd w:val="clear" w:color="auto" w:fill="EAF1DD" w:themeFill="accent3" w:themeFillTint="33"/>
            <w:vAlign w:val="center"/>
          </w:tcPr>
          <w:p w14:paraId="4E5C26B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26.4, 49.7</w:t>
            </w:r>
          </w:p>
        </w:tc>
        <w:tc>
          <w:tcPr>
            <w:tcW w:w="1418" w:type="dxa"/>
            <w:shd w:val="clear" w:color="auto" w:fill="EAF1DD" w:themeFill="accent3" w:themeFillTint="33"/>
            <w:noWrap/>
            <w:vAlign w:val="center"/>
          </w:tcPr>
          <w:p w14:paraId="4046E2F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24.0 – 49.5</w:t>
            </w:r>
          </w:p>
        </w:tc>
      </w:tr>
      <w:tr w:rsidR="0033454E" w:rsidRPr="00420FFA" w14:paraId="0B9C0A56" w14:textId="77777777" w:rsidTr="001E4C6F">
        <w:trPr>
          <w:trHeight w:val="510"/>
          <w:jc w:val="center"/>
        </w:trPr>
        <w:tc>
          <w:tcPr>
            <w:tcW w:w="1219" w:type="dxa"/>
            <w:shd w:val="clear" w:color="auto" w:fill="auto"/>
            <w:noWrap/>
            <w:vAlign w:val="center"/>
          </w:tcPr>
          <w:p w14:paraId="57A1D9B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Ash (%)</w:t>
            </w:r>
          </w:p>
        </w:tc>
        <w:tc>
          <w:tcPr>
            <w:tcW w:w="1134" w:type="dxa"/>
            <w:shd w:val="clear" w:color="auto" w:fill="auto"/>
            <w:vAlign w:val="center"/>
          </w:tcPr>
          <w:p w14:paraId="7729C08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4.87±0.86</w:t>
            </w:r>
          </w:p>
        </w:tc>
        <w:tc>
          <w:tcPr>
            <w:tcW w:w="1134" w:type="dxa"/>
            <w:shd w:val="clear" w:color="auto" w:fill="auto"/>
            <w:vAlign w:val="center"/>
          </w:tcPr>
          <w:p w14:paraId="17CB073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5.00±0.84</w:t>
            </w:r>
          </w:p>
        </w:tc>
        <w:tc>
          <w:tcPr>
            <w:tcW w:w="1093" w:type="dxa"/>
            <w:shd w:val="clear" w:color="auto" w:fill="FDE9D9" w:themeFill="accent6" w:themeFillTint="33"/>
            <w:vAlign w:val="center"/>
          </w:tcPr>
          <w:p w14:paraId="62E036C5"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5.47±0.91</w:t>
            </w:r>
            <w:r w:rsidRPr="001E4C6F">
              <w:rPr>
                <w:rFonts w:cs="Arial"/>
                <w:color w:val="000000" w:themeColor="text1"/>
                <w:sz w:val="18"/>
                <w:szCs w:val="18"/>
                <w:vertAlign w:val="superscript"/>
              </w:rPr>
              <w:t>4</w:t>
            </w:r>
          </w:p>
        </w:tc>
        <w:tc>
          <w:tcPr>
            <w:tcW w:w="992" w:type="dxa"/>
            <w:shd w:val="clear" w:color="auto" w:fill="auto"/>
            <w:vAlign w:val="center"/>
          </w:tcPr>
          <w:p w14:paraId="4EA21E7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0.316</w:t>
            </w:r>
          </w:p>
        </w:tc>
        <w:tc>
          <w:tcPr>
            <w:tcW w:w="1134" w:type="dxa"/>
            <w:vAlign w:val="center"/>
          </w:tcPr>
          <w:p w14:paraId="3C76F76C"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0.001</w:t>
            </w:r>
          </w:p>
        </w:tc>
        <w:tc>
          <w:tcPr>
            <w:tcW w:w="1134" w:type="dxa"/>
            <w:vAlign w:val="center"/>
          </w:tcPr>
          <w:p w14:paraId="3AFEB55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1.36, 7.99</w:t>
            </w:r>
          </w:p>
        </w:tc>
        <w:tc>
          <w:tcPr>
            <w:tcW w:w="1418" w:type="dxa"/>
            <w:shd w:val="clear" w:color="auto" w:fill="auto"/>
            <w:noWrap/>
            <w:vAlign w:val="center"/>
          </w:tcPr>
          <w:p w14:paraId="587E980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3.36 – 6.02</w:t>
            </w:r>
          </w:p>
        </w:tc>
      </w:tr>
      <w:tr w:rsidR="0033454E" w:rsidRPr="00420FFA" w14:paraId="734E8F98" w14:textId="77777777" w:rsidTr="001E4C6F">
        <w:trPr>
          <w:trHeight w:val="510"/>
          <w:jc w:val="center"/>
        </w:trPr>
        <w:tc>
          <w:tcPr>
            <w:tcW w:w="1219" w:type="dxa"/>
            <w:shd w:val="clear" w:color="auto" w:fill="EAF1DD" w:themeFill="accent3" w:themeFillTint="33"/>
            <w:noWrap/>
            <w:vAlign w:val="center"/>
          </w:tcPr>
          <w:p w14:paraId="7C45300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Carbohydrate (%)</w:t>
            </w:r>
            <w:r w:rsidRPr="001E4C6F">
              <w:rPr>
                <w:rFonts w:cs="Arial"/>
                <w:color w:val="000000" w:themeColor="text1"/>
                <w:sz w:val="18"/>
                <w:szCs w:val="18"/>
                <w:vertAlign w:val="superscript"/>
              </w:rPr>
              <w:t>2</w:t>
            </w:r>
          </w:p>
        </w:tc>
        <w:tc>
          <w:tcPr>
            <w:tcW w:w="1134" w:type="dxa"/>
            <w:shd w:val="clear" w:color="auto" w:fill="EAF1DD" w:themeFill="accent3" w:themeFillTint="33"/>
            <w:vAlign w:val="center"/>
          </w:tcPr>
          <w:p w14:paraId="05504B8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29.7±2.3</w:t>
            </w:r>
          </w:p>
        </w:tc>
        <w:tc>
          <w:tcPr>
            <w:tcW w:w="1134" w:type="dxa"/>
            <w:shd w:val="clear" w:color="auto" w:fill="EAF1DD" w:themeFill="accent3" w:themeFillTint="33"/>
            <w:vAlign w:val="center"/>
          </w:tcPr>
          <w:p w14:paraId="746DF20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29.4±1.8</w:t>
            </w:r>
          </w:p>
        </w:tc>
        <w:tc>
          <w:tcPr>
            <w:tcW w:w="1093" w:type="dxa"/>
            <w:shd w:val="clear" w:color="auto" w:fill="EAF1DD" w:themeFill="accent3" w:themeFillTint="33"/>
            <w:vAlign w:val="center"/>
          </w:tcPr>
          <w:p w14:paraId="38EABFA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31.2±3.3</w:t>
            </w:r>
          </w:p>
        </w:tc>
        <w:tc>
          <w:tcPr>
            <w:tcW w:w="992" w:type="dxa"/>
            <w:shd w:val="clear" w:color="auto" w:fill="EAF1DD" w:themeFill="accent3" w:themeFillTint="33"/>
            <w:vAlign w:val="center"/>
          </w:tcPr>
          <w:p w14:paraId="20C80E1E"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0.994</w:t>
            </w:r>
          </w:p>
        </w:tc>
        <w:tc>
          <w:tcPr>
            <w:tcW w:w="1134" w:type="dxa"/>
            <w:shd w:val="clear" w:color="auto" w:fill="EAF1DD" w:themeFill="accent3" w:themeFillTint="33"/>
            <w:vAlign w:val="center"/>
          </w:tcPr>
          <w:p w14:paraId="35D2463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0.078</w:t>
            </w:r>
          </w:p>
        </w:tc>
        <w:tc>
          <w:tcPr>
            <w:tcW w:w="1134" w:type="dxa"/>
            <w:shd w:val="clear" w:color="auto" w:fill="EAF1DD" w:themeFill="accent3" w:themeFillTint="33"/>
            <w:vAlign w:val="center"/>
          </w:tcPr>
          <w:p w14:paraId="5EDC004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20.7,37.3</w:t>
            </w:r>
          </w:p>
        </w:tc>
        <w:tc>
          <w:tcPr>
            <w:tcW w:w="1418" w:type="dxa"/>
            <w:shd w:val="clear" w:color="auto" w:fill="EAF1DD" w:themeFill="accent3" w:themeFillTint="33"/>
            <w:noWrap/>
            <w:vAlign w:val="center"/>
          </w:tcPr>
          <w:p w14:paraId="3904416C" w14:textId="77777777" w:rsidR="0033454E" w:rsidRPr="001E4C6F" w:rsidRDefault="0033454E" w:rsidP="0033454E">
            <w:pPr>
              <w:jc w:val="center"/>
              <w:rPr>
                <w:rFonts w:cs="Arial"/>
                <w:color w:val="000000" w:themeColor="text1"/>
                <w:sz w:val="18"/>
                <w:szCs w:val="18"/>
              </w:rPr>
            </w:pPr>
          </w:p>
        </w:tc>
      </w:tr>
      <w:tr w:rsidR="0033454E" w:rsidRPr="00420FFA" w14:paraId="1B3EECB4" w14:textId="77777777" w:rsidTr="001E4C6F">
        <w:trPr>
          <w:trHeight w:val="510"/>
          <w:jc w:val="center"/>
        </w:trPr>
        <w:tc>
          <w:tcPr>
            <w:tcW w:w="1219" w:type="dxa"/>
            <w:shd w:val="clear" w:color="auto" w:fill="auto"/>
            <w:noWrap/>
            <w:vAlign w:val="center"/>
          </w:tcPr>
          <w:p w14:paraId="27E79F6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ADF (%)</w:t>
            </w:r>
          </w:p>
        </w:tc>
        <w:tc>
          <w:tcPr>
            <w:tcW w:w="1134" w:type="dxa"/>
            <w:shd w:val="clear" w:color="auto" w:fill="auto"/>
            <w:vAlign w:val="center"/>
          </w:tcPr>
          <w:p w14:paraId="7BD9E19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21.3±1.9</w:t>
            </w:r>
          </w:p>
        </w:tc>
        <w:tc>
          <w:tcPr>
            <w:tcW w:w="1134" w:type="dxa"/>
            <w:shd w:val="clear" w:color="auto" w:fill="auto"/>
            <w:vAlign w:val="center"/>
          </w:tcPr>
          <w:p w14:paraId="70B0552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21.5±1.7</w:t>
            </w:r>
          </w:p>
        </w:tc>
        <w:tc>
          <w:tcPr>
            <w:tcW w:w="1093" w:type="dxa"/>
            <w:shd w:val="clear" w:color="auto" w:fill="E5DFEC" w:themeFill="accent4" w:themeFillTint="33"/>
            <w:vAlign w:val="center"/>
          </w:tcPr>
          <w:p w14:paraId="37BF2683"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20.1±2.7</w:t>
            </w:r>
            <w:r w:rsidRPr="001E4C6F">
              <w:rPr>
                <w:rFonts w:cs="Arial"/>
                <w:color w:val="000000" w:themeColor="text1"/>
                <w:sz w:val="18"/>
                <w:szCs w:val="18"/>
                <w:vertAlign w:val="superscript"/>
              </w:rPr>
              <w:t>4</w:t>
            </w:r>
          </w:p>
        </w:tc>
        <w:tc>
          <w:tcPr>
            <w:tcW w:w="992" w:type="dxa"/>
            <w:shd w:val="clear" w:color="auto" w:fill="auto"/>
            <w:vAlign w:val="center"/>
          </w:tcPr>
          <w:p w14:paraId="3B3540B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0.979</w:t>
            </w:r>
          </w:p>
        </w:tc>
        <w:tc>
          <w:tcPr>
            <w:tcW w:w="1134" w:type="dxa"/>
            <w:shd w:val="clear" w:color="auto" w:fill="auto"/>
            <w:vAlign w:val="center"/>
          </w:tcPr>
          <w:p w14:paraId="050161A3"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0.023</w:t>
            </w:r>
          </w:p>
        </w:tc>
        <w:tc>
          <w:tcPr>
            <w:tcW w:w="1134" w:type="dxa"/>
            <w:shd w:val="clear" w:color="auto" w:fill="auto"/>
            <w:vAlign w:val="center"/>
          </w:tcPr>
          <w:p w14:paraId="210B6EE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14.0, 25.4</w:t>
            </w:r>
          </w:p>
        </w:tc>
        <w:tc>
          <w:tcPr>
            <w:tcW w:w="1418" w:type="dxa"/>
            <w:shd w:val="clear" w:color="auto" w:fill="auto"/>
            <w:noWrap/>
            <w:vAlign w:val="center"/>
          </w:tcPr>
          <w:p w14:paraId="4EAB433A"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11.6 – 26.7</w:t>
            </w:r>
          </w:p>
        </w:tc>
      </w:tr>
      <w:tr w:rsidR="0033454E" w:rsidRPr="00420FFA" w14:paraId="0C48277B" w14:textId="77777777" w:rsidTr="001E4C6F">
        <w:trPr>
          <w:trHeight w:val="510"/>
          <w:jc w:val="center"/>
        </w:trPr>
        <w:tc>
          <w:tcPr>
            <w:tcW w:w="1219" w:type="dxa"/>
            <w:tcBorders>
              <w:bottom w:val="single" w:sz="4" w:space="0" w:color="auto"/>
            </w:tcBorders>
            <w:shd w:val="clear" w:color="auto" w:fill="EAF1DD" w:themeFill="accent3" w:themeFillTint="33"/>
            <w:noWrap/>
            <w:vAlign w:val="center"/>
          </w:tcPr>
          <w:p w14:paraId="580B66B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NDF (%)</w:t>
            </w:r>
          </w:p>
        </w:tc>
        <w:tc>
          <w:tcPr>
            <w:tcW w:w="1134" w:type="dxa"/>
            <w:tcBorders>
              <w:bottom w:val="single" w:sz="4" w:space="0" w:color="auto"/>
            </w:tcBorders>
            <w:shd w:val="clear" w:color="auto" w:fill="EAF1DD" w:themeFill="accent3" w:themeFillTint="33"/>
            <w:vAlign w:val="center"/>
          </w:tcPr>
          <w:p w14:paraId="486F821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25.0±1.9</w:t>
            </w:r>
          </w:p>
        </w:tc>
        <w:tc>
          <w:tcPr>
            <w:tcW w:w="1134" w:type="dxa"/>
            <w:tcBorders>
              <w:bottom w:val="single" w:sz="4" w:space="0" w:color="auto"/>
            </w:tcBorders>
            <w:shd w:val="clear" w:color="auto" w:fill="EAF1DD" w:themeFill="accent3" w:themeFillTint="33"/>
            <w:vAlign w:val="center"/>
          </w:tcPr>
          <w:p w14:paraId="78DDCA5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24.6±1.9</w:t>
            </w:r>
          </w:p>
        </w:tc>
        <w:tc>
          <w:tcPr>
            <w:tcW w:w="1093" w:type="dxa"/>
            <w:tcBorders>
              <w:bottom w:val="single" w:sz="4" w:space="0" w:color="auto"/>
            </w:tcBorders>
            <w:shd w:val="clear" w:color="auto" w:fill="E5DFEC" w:themeFill="accent4" w:themeFillTint="33"/>
            <w:vAlign w:val="center"/>
          </w:tcPr>
          <w:p w14:paraId="6FA8A20E"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23.4±2.5</w:t>
            </w:r>
            <w:r w:rsidRPr="001E4C6F">
              <w:rPr>
                <w:rFonts w:cs="Arial"/>
                <w:color w:val="000000" w:themeColor="text1"/>
                <w:sz w:val="18"/>
                <w:szCs w:val="18"/>
                <w:vertAlign w:val="superscript"/>
              </w:rPr>
              <w:t>4</w:t>
            </w:r>
          </w:p>
        </w:tc>
        <w:tc>
          <w:tcPr>
            <w:tcW w:w="992" w:type="dxa"/>
            <w:tcBorders>
              <w:bottom w:val="single" w:sz="4" w:space="0" w:color="auto"/>
            </w:tcBorders>
            <w:shd w:val="clear" w:color="auto" w:fill="EAF1DD" w:themeFill="accent3" w:themeFillTint="33"/>
            <w:vAlign w:val="center"/>
          </w:tcPr>
          <w:p w14:paraId="335DD85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0.413</w:t>
            </w:r>
          </w:p>
        </w:tc>
        <w:tc>
          <w:tcPr>
            <w:tcW w:w="1134" w:type="dxa"/>
            <w:tcBorders>
              <w:bottom w:val="single" w:sz="4" w:space="0" w:color="auto"/>
            </w:tcBorders>
            <w:shd w:val="clear" w:color="auto" w:fill="EAF1DD" w:themeFill="accent3" w:themeFillTint="33"/>
            <w:vAlign w:val="center"/>
          </w:tcPr>
          <w:p w14:paraId="32405E3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0.011</w:t>
            </w:r>
          </w:p>
        </w:tc>
        <w:tc>
          <w:tcPr>
            <w:tcW w:w="1134" w:type="dxa"/>
            <w:tcBorders>
              <w:bottom w:val="single" w:sz="4" w:space="0" w:color="auto"/>
            </w:tcBorders>
            <w:shd w:val="clear" w:color="auto" w:fill="EAF1DD" w:themeFill="accent3" w:themeFillTint="33"/>
            <w:vAlign w:val="center"/>
          </w:tcPr>
          <w:p w14:paraId="6A6A2B3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17.1, 29.4</w:t>
            </w:r>
          </w:p>
        </w:tc>
        <w:tc>
          <w:tcPr>
            <w:tcW w:w="1418" w:type="dxa"/>
            <w:tcBorders>
              <w:bottom w:val="single" w:sz="4" w:space="0" w:color="auto"/>
            </w:tcBorders>
            <w:shd w:val="clear" w:color="auto" w:fill="EAF1DD" w:themeFill="accent3" w:themeFillTint="33"/>
            <w:noWrap/>
            <w:vAlign w:val="center"/>
          </w:tcPr>
          <w:p w14:paraId="06086CF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16.49 – 34.72</w:t>
            </w:r>
          </w:p>
        </w:tc>
      </w:tr>
      <w:tr w:rsidR="0033454E" w:rsidRPr="00420FFA" w14:paraId="4AADACC9" w14:textId="77777777" w:rsidTr="001E4C6F">
        <w:trPr>
          <w:trHeight w:val="510"/>
          <w:jc w:val="center"/>
        </w:trPr>
        <w:tc>
          <w:tcPr>
            <w:tcW w:w="1219" w:type="dxa"/>
            <w:tcBorders>
              <w:top w:val="double" w:sz="4" w:space="0" w:color="auto"/>
              <w:bottom w:val="single" w:sz="4" w:space="0" w:color="auto"/>
            </w:tcBorders>
            <w:shd w:val="clear" w:color="auto" w:fill="auto"/>
            <w:noWrap/>
            <w:vAlign w:val="center"/>
          </w:tcPr>
          <w:p w14:paraId="471F499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Moisture (% fw)</w:t>
            </w:r>
          </w:p>
        </w:tc>
        <w:tc>
          <w:tcPr>
            <w:tcW w:w="1134" w:type="dxa"/>
            <w:tcBorders>
              <w:top w:val="double" w:sz="4" w:space="0" w:color="auto"/>
              <w:bottom w:val="single" w:sz="4" w:space="0" w:color="auto"/>
            </w:tcBorders>
            <w:vAlign w:val="center"/>
          </w:tcPr>
          <w:p w14:paraId="1655F5C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9.73±2.78</w:t>
            </w:r>
          </w:p>
        </w:tc>
        <w:tc>
          <w:tcPr>
            <w:tcW w:w="1134" w:type="dxa"/>
            <w:tcBorders>
              <w:top w:val="double" w:sz="4" w:space="0" w:color="auto"/>
              <w:bottom w:val="single" w:sz="4" w:space="0" w:color="auto"/>
            </w:tcBorders>
            <w:shd w:val="clear" w:color="auto" w:fill="auto"/>
            <w:vAlign w:val="center"/>
          </w:tcPr>
          <w:p w14:paraId="7AC28C4F"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9.49±2.28</w:t>
            </w:r>
          </w:p>
        </w:tc>
        <w:tc>
          <w:tcPr>
            <w:tcW w:w="1093" w:type="dxa"/>
            <w:tcBorders>
              <w:top w:val="double" w:sz="4" w:space="0" w:color="auto"/>
              <w:bottom w:val="single" w:sz="4" w:space="0" w:color="auto"/>
            </w:tcBorders>
            <w:shd w:val="clear" w:color="auto" w:fill="FDE9D9" w:themeFill="accent6" w:themeFillTint="33"/>
            <w:vAlign w:val="center"/>
          </w:tcPr>
          <w:p w14:paraId="148DBBAC"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11.54±4.20</w:t>
            </w:r>
            <w:r w:rsidRPr="001E4C6F">
              <w:rPr>
                <w:rFonts w:cs="Arial"/>
                <w:color w:val="000000" w:themeColor="text1"/>
                <w:sz w:val="18"/>
                <w:szCs w:val="18"/>
                <w:vertAlign w:val="superscript"/>
              </w:rPr>
              <w:t>4</w:t>
            </w:r>
          </w:p>
        </w:tc>
        <w:tc>
          <w:tcPr>
            <w:tcW w:w="992" w:type="dxa"/>
            <w:tcBorders>
              <w:top w:val="double" w:sz="4" w:space="0" w:color="auto"/>
              <w:bottom w:val="single" w:sz="4" w:space="0" w:color="auto"/>
            </w:tcBorders>
            <w:shd w:val="clear" w:color="auto" w:fill="auto"/>
            <w:vAlign w:val="center"/>
          </w:tcPr>
          <w:p w14:paraId="1C656A76"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0.922</w:t>
            </w:r>
          </w:p>
        </w:tc>
        <w:tc>
          <w:tcPr>
            <w:tcW w:w="1134" w:type="dxa"/>
            <w:tcBorders>
              <w:top w:val="double" w:sz="4" w:space="0" w:color="auto"/>
              <w:bottom w:val="single" w:sz="4" w:space="0" w:color="auto"/>
            </w:tcBorders>
            <w:vAlign w:val="center"/>
          </w:tcPr>
          <w:p w14:paraId="79B1F473"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0.01</w:t>
            </w:r>
          </w:p>
        </w:tc>
        <w:tc>
          <w:tcPr>
            <w:tcW w:w="1134" w:type="dxa"/>
            <w:tcBorders>
              <w:top w:val="double" w:sz="4" w:space="0" w:color="auto"/>
              <w:bottom w:val="single" w:sz="4" w:space="0" w:color="auto"/>
            </w:tcBorders>
            <w:vAlign w:val="center"/>
          </w:tcPr>
          <w:p w14:paraId="3AFBD9D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1.32, 17.25</w:t>
            </w:r>
          </w:p>
        </w:tc>
        <w:tc>
          <w:tcPr>
            <w:tcW w:w="1418" w:type="dxa"/>
            <w:tcBorders>
              <w:top w:val="double" w:sz="4" w:space="0" w:color="auto"/>
              <w:bottom w:val="single" w:sz="4" w:space="0" w:color="auto"/>
            </w:tcBorders>
            <w:shd w:val="clear" w:color="auto" w:fill="auto"/>
            <w:noWrap/>
            <w:vAlign w:val="center"/>
          </w:tcPr>
          <w:p w14:paraId="6AE0BC8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3.17 – 10.0</w:t>
            </w:r>
          </w:p>
        </w:tc>
      </w:tr>
    </w:tbl>
    <w:p w14:paraId="03CA6CC5" w14:textId="77777777" w:rsidR="0033454E" w:rsidRPr="00D93683" w:rsidRDefault="0033454E" w:rsidP="0033454E">
      <w:pPr>
        <w:autoSpaceDE w:val="0"/>
        <w:autoSpaceDN w:val="0"/>
        <w:adjustRightInd w:val="0"/>
        <w:rPr>
          <w:color w:val="000000" w:themeColor="text1"/>
          <w:sz w:val="18"/>
          <w:szCs w:val="18"/>
        </w:rPr>
      </w:pPr>
      <w:r w:rsidRPr="00D93683">
        <w:rPr>
          <w:color w:val="000000" w:themeColor="text1"/>
          <w:sz w:val="18"/>
          <w:szCs w:val="18"/>
          <w:vertAlign w:val="superscript"/>
        </w:rPr>
        <w:t>1</w:t>
      </w:r>
      <w:r w:rsidRPr="00D93683">
        <w:rPr>
          <w:color w:val="000000" w:themeColor="text1"/>
          <w:sz w:val="18"/>
          <w:szCs w:val="18"/>
        </w:rPr>
        <w:t xml:space="preserve"> Analyte means determined on a dry weight (dw) basis (except for moisture)</w:t>
      </w:r>
    </w:p>
    <w:p w14:paraId="07BB7B91" w14:textId="77777777" w:rsidR="0033454E" w:rsidRPr="00D93683" w:rsidRDefault="0033454E" w:rsidP="0033454E">
      <w:pPr>
        <w:autoSpaceDE w:val="0"/>
        <w:autoSpaceDN w:val="0"/>
        <w:adjustRightInd w:val="0"/>
        <w:rPr>
          <w:color w:val="000000" w:themeColor="text1"/>
          <w:sz w:val="18"/>
          <w:szCs w:val="18"/>
        </w:rPr>
      </w:pPr>
      <w:r w:rsidRPr="00D93683">
        <w:rPr>
          <w:color w:val="000000" w:themeColor="text1"/>
          <w:sz w:val="18"/>
          <w:szCs w:val="18"/>
          <w:vertAlign w:val="superscript"/>
        </w:rPr>
        <w:t xml:space="preserve">2 </w:t>
      </w:r>
      <w:r w:rsidRPr="00D93683">
        <w:rPr>
          <w:color w:val="000000" w:themeColor="text1"/>
          <w:sz w:val="18"/>
          <w:szCs w:val="18"/>
        </w:rPr>
        <w:t>Carbohydrate determined by calculation</w:t>
      </w:r>
    </w:p>
    <w:p w14:paraId="3E800D6B" w14:textId="77777777" w:rsidR="0033454E" w:rsidRPr="00D93683" w:rsidRDefault="0033454E" w:rsidP="0033454E">
      <w:pPr>
        <w:autoSpaceDE w:val="0"/>
        <w:autoSpaceDN w:val="0"/>
        <w:adjustRightInd w:val="0"/>
        <w:rPr>
          <w:color w:val="000000" w:themeColor="text1"/>
          <w:sz w:val="18"/>
          <w:szCs w:val="18"/>
        </w:rPr>
      </w:pPr>
      <w:r w:rsidRPr="00D93683">
        <w:rPr>
          <w:color w:val="000000" w:themeColor="text1"/>
          <w:sz w:val="18"/>
          <w:szCs w:val="18"/>
          <w:vertAlign w:val="superscript"/>
        </w:rPr>
        <w:t>3</w:t>
      </w:r>
      <w:r w:rsidRPr="00D93683">
        <w:rPr>
          <w:color w:val="000000" w:themeColor="text1"/>
          <w:sz w:val="18"/>
          <w:szCs w:val="18"/>
        </w:rPr>
        <w:t xml:space="preserve"> p-values indicating significant differences are bolded and underlined.</w:t>
      </w:r>
    </w:p>
    <w:p w14:paraId="518F8DFF" w14:textId="3C3322FB" w:rsidR="00A35DB9" w:rsidRDefault="0033454E" w:rsidP="0033454E">
      <w:pPr>
        <w:autoSpaceDE w:val="0"/>
        <w:autoSpaceDN w:val="0"/>
        <w:adjustRightInd w:val="0"/>
        <w:ind w:left="284" w:hanging="284"/>
        <w:rPr>
          <w:rFonts w:cs="Arial"/>
          <w:color w:val="000000" w:themeColor="text1"/>
          <w:sz w:val="18"/>
          <w:szCs w:val="18"/>
        </w:rPr>
      </w:pPr>
      <w:r w:rsidRPr="00D93683">
        <w:rPr>
          <w:color w:val="000000" w:themeColor="text1"/>
          <w:sz w:val="18"/>
          <w:szCs w:val="18"/>
          <w:vertAlign w:val="superscript"/>
        </w:rPr>
        <w:t>4</w:t>
      </w:r>
      <w:r w:rsidRPr="00D93683">
        <w:rPr>
          <w:rFonts w:cs="Arial"/>
          <w:color w:val="000000" w:themeColor="text1"/>
          <w:sz w:val="18"/>
          <w:szCs w:val="18"/>
        </w:rPr>
        <w:t xml:space="preserve"> mauve shading represents MS11 means that are significantly lower than the N90-740 means while orange shading represents MS11 means that are significantly higher.</w:t>
      </w:r>
      <w:r w:rsidR="00A35DB9">
        <w:rPr>
          <w:rFonts w:cs="Arial"/>
          <w:color w:val="000000" w:themeColor="text1"/>
          <w:sz w:val="18"/>
          <w:szCs w:val="18"/>
        </w:rPr>
        <w:br w:type="page"/>
      </w:r>
    </w:p>
    <w:p w14:paraId="0B475E76" w14:textId="4D1745F6" w:rsidR="0033454E" w:rsidRPr="001B5342" w:rsidRDefault="00283E37" w:rsidP="0033454E">
      <w:pPr>
        <w:pStyle w:val="Heading3"/>
      </w:pPr>
      <w:r>
        <w:lastRenderedPageBreak/>
        <w:t>5.3.2</w:t>
      </w:r>
      <w:r w:rsidR="0033454E" w:rsidRPr="001B5342">
        <w:tab/>
        <w:t>Fatty acids</w:t>
      </w:r>
    </w:p>
    <w:p w14:paraId="4BFF7AC8" w14:textId="77777777" w:rsidR="0033454E" w:rsidRPr="001506F2" w:rsidRDefault="0033454E" w:rsidP="0033454E">
      <w:pPr>
        <w:autoSpaceDE w:val="0"/>
        <w:autoSpaceDN w:val="0"/>
        <w:adjustRightInd w:val="0"/>
        <w:rPr>
          <w:color w:val="000000" w:themeColor="text1"/>
          <w:sz w:val="23"/>
          <w:szCs w:val="23"/>
        </w:rPr>
      </w:pPr>
      <w:r w:rsidRPr="001506F2">
        <w:rPr>
          <w:color w:val="000000" w:themeColor="text1"/>
        </w:rPr>
        <w:t xml:space="preserve">The levels of 33 fatty acids were measured, and of these the </w:t>
      </w:r>
      <w:r w:rsidRPr="00A36476">
        <w:rPr>
          <w:color w:val="000000" w:themeColor="text1"/>
        </w:rPr>
        <w:t>following 22 contained</w:t>
      </w:r>
      <w:r w:rsidRPr="001506F2">
        <w:rPr>
          <w:color w:val="000000" w:themeColor="text1"/>
        </w:rPr>
        <w:t xml:space="preserve"> more entries below the LOQ than could be considered in a statistical analysis</w:t>
      </w:r>
      <w:r w:rsidRPr="001506F2">
        <w:rPr>
          <w:rFonts w:eastAsia="PMingLiU" w:cs="Arial"/>
          <w:color w:val="000000" w:themeColor="text1"/>
          <w:szCs w:val="22"/>
        </w:rPr>
        <w:t xml:space="preserve">: caproic (6:0), </w:t>
      </w:r>
      <w:r w:rsidRPr="001506F2">
        <w:rPr>
          <w:color w:val="000000" w:themeColor="text1"/>
          <w:sz w:val="23"/>
          <w:szCs w:val="23"/>
        </w:rPr>
        <w:t>caprylic (8:0), capric (10:0), lauric (12:0), myristic (14:0), myristoleic (14:1), pentadecanoic (15:0), pentadecenoic (15:1), heptadecanoic (17:0), heptadecenoic (17:1), gamma linolenic (18:3), octadecatetraenoic (18:4), eicosadienoic (20:2), eicosatrienoic (20:3), homogamma linolenic (20:3), arachidonic n3 (20:4), arachidonic n6 (20:4), erucic (22:1), docosadienoic (22:2), docosapentaenoic n3 (22:5); docosapentaenoic n6 (22:5), and docosahexaenoic (22:6).</w:t>
      </w:r>
    </w:p>
    <w:p w14:paraId="2316210D" w14:textId="77777777" w:rsidR="0033454E" w:rsidRPr="001506F2" w:rsidRDefault="0033454E" w:rsidP="0033454E">
      <w:pPr>
        <w:tabs>
          <w:tab w:val="left" w:pos="2805"/>
        </w:tabs>
        <w:autoSpaceDE w:val="0"/>
        <w:autoSpaceDN w:val="0"/>
        <w:adjustRightInd w:val="0"/>
        <w:rPr>
          <w:color w:val="000000" w:themeColor="text1"/>
          <w:sz w:val="23"/>
          <w:szCs w:val="23"/>
        </w:rPr>
      </w:pPr>
    </w:p>
    <w:p w14:paraId="22FEB3C2" w14:textId="77777777" w:rsidR="0033454E" w:rsidRPr="001506F2" w:rsidRDefault="0033454E" w:rsidP="0033454E">
      <w:pPr>
        <w:widowControl/>
        <w:autoSpaceDE w:val="0"/>
        <w:autoSpaceDN w:val="0"/>
        <w:adjustRightInd w:val="0"/>
        <w:rPr>
          <w:rFonts w:cs="Arial"/>
          <w:color w:val="000000" w:themeColor="text1"/>
          <w:szCs w:val="22"/>
          <w:lang w:eastAsia="en-GB" w:bidi="ar-SA"/>
        </w:rPr>
      </w:pPr>
      <w:r w:rsidRPr="001506F2">
        <w:rPr>
          <w:color w:val="000000" w:themeColor="text1"/>
        </w:rPr>
        <w:t xml:space="preserve">The results for the remaining 11 fatty acids </w:t>
      </w:r>
      <w:r w:rsidRPr="004F4FDA">
        <w:rPr>
          <w:color w:val="000000" w:themeColor="text1"/>
        </w:rPr>
        <w:t xml:space="preserve">(Table 6) </w:t>
      </w:r>
      <w:r w:rsidRPr="004F4FDA">
        <w:rPr>
          <w:rFonts w:cs="Arial"/>
          <w:color w:val="000000" w:themeColor="text1"/>
          <w:szCs w:val="22"/>
        </w:rPr>
        <w:t>show</w:t>
      </w:r>
      <w:r w:rsidRPr="001506F2">
        <w:rPr>
          <w:rFonts w:cs="Arial"/>
          <w:color w:val="000000" w:themeColor="text1"/>
          <w:szCs w:val="22"/>
        </w:rPr>
        <w:t xml:space="preserve"> there was no significant difference between the means for unsprayed MS11 and those for the control for any fatty acid measured. For sprayed MS11, levels of palmitic, stearic, arachidic, behenic, lignoceric and nervonic acids were significantly higher than those in the control and the levels of oleic acid was significantly lower than that in the control. However, </w:t>
      </w:r>
      <w:r w:rsidRPr="001506F2">
        <w:rPr>
          <w:rFonts w:cs="Arial"/>
          <w:color w:val="000000" w:themeColor="text1"/>
          <w:szCs w:val="22"/>
          <w:lang w:eastAsia="en-GB" w:bidi="ar-SA"/>
        </w:rPr>
        <w:t xml:space="preserve">the means for all entries, for all fatty acids, were within the tolerance interval of the reference varieties. </w:t>
      </w:r>
    </w:p>
    <w:p w14:paraId="2042F09F" w14:textId="77777777" w:rsidR="0033454E" w:rsidRPr="001506F2" w:rsidRDefault="0033454E" w:rsidP="0033454E">
      <w:pPr>
        <w:widowControl/>
        <w:autoSpaceDE w:val="0"/>
        <w:autoSpaceDN w:val="0"/>
        <w:adjustRightInd w:val="0"/>
        <w:rPr>
          <w:rFonts w:cs="Arial"/>
          <w:color w:val="000000" w:themeColor="text1"/>
          <w:szCs w:val="22"/>
          <w:lang w:eastAsia="en-GB" w:bidi="ar-SA"/>
        </w:rPr>
      </w:pPr>
    </w:p>
    <w:p w14:paraId="4315C0C1" w14:textId="77777777" w:rsidR="0033454E" w:rsidRPr="001506F2" w:rsidRDefault="0033454E" w:rsidP="0033454E">
      <w:pPr>
        <w:widowControl/>
        <w:autoSpaceDE w:val="0"/>
        <w:autoSpaceDN w:val="0"/>
        <w:adjustRightInd w:val="0"/>
        <w:rPr>
          <w:rFonts w:cs="Arial"/>
          <w:color w:val="000000" w:themeColor="text1"/>
          <w:szCs w:val="22"/>
          <w:lang w:eastAsia="en-GB" w:bidi="ar-SA"/>
        </w:rPr>
      </w:pPr>
      <w:r w:rsidRPr="001506F2">
        <w:rPr>
          <w:rFonts w:cs="Arial"/>
          <w:color w:val="000000" w:themeColor="text1"/>
          <w:szCs w:val="22"/>
          <w:lang w:eastAsia="en-GB" w:bidi="ar-SA"/>
        </w:rPr>
        <w:t>The means for oleic acid in both MS11 and N90-740 were higher than the combined literature range, while the means for eicosenoic acid in both MS11 and N90-740 were lower than the combined literature range. The means for all other analytes for both MS11 and N90-470 were within the literature range.</w:t>
      </w:r>
    </w:p>
    <w:p w14:paraId="34908069" w14:textId="77777777" w:rsidR="0033454E" w:rsidRPr="00283E37" w:rsidRDefault="0033454E" w:rsidP="0033454E">
      <w:pPr>
        <w:widowControl/>
        <w:autoSpaceDE w:val="0"/>
        <w:autoSpaceDN w:val="0"/>
        <w:adjustRightInd w:val="0"/>
        <w:rPr>
          <w:rFonts w:cs="Arial"/>
          <w:color w:val="000000" w:themeColor="text1"/>
          <w:sz w:val="18"/>
          <w:szCs w:val="22"/>
          <w:lang w:eastAsia="en-GB" w:bidi="ar-SA"/>
        </w:rPr>
      </w:pPr>
    </w:p>
    <w:p w14:paraId="269AFCE2" w14:textId="77777777" w:rsidR="0033454E" w:rsidRPr="00C63B93" w:rsidRDefault="0033454E" w:rsidP="001E4C6F">
      <w:bookmarkStart w:id="41" w:name="_Toc481574641"/>
      <w:r w:rsidRPr="001E4C6F">
        <w:rPr>
          <w:b/>
        </w:rPr>
        <w:t xml:space="preserve">Table </w:t>
      </w:r>
      <w:r w:rsidRPr="001E4C6F">
        <w:rPr>
          <w:b/>
        </w:rPr>
        <w:fldChar w:fldCharType="begin"/>
      </w:r>
      <w:r w:rsidRPr="001E4C6F">
        <w:rPr>
          <w:b/>
        </w:rPr>
        <w:instrText xml:space="preserve"> SEQ Table \* ARABIC </w:instrText>
      </w:r>
      <w:r w:rsidRPr="001E4C6F">
        <w:rPr>
          <w:b/>
        </w:rPr>
        <w:fldChar w:fldCharType="separate"/>
      </w:r>
      <w:r w:rsidR="007D76F3" w:rsidRPr="001E4C6F">
        <w:rPr>
          <w:b/>
          <w:noProof/>
        </w:rPr>
        <w:t>6</w:t>
      </w:r>
      <w:r w:rsidRPr="001E4C6F">
        <w:rPr>
          <w:b/>
        </w:rPr>
        <w:fldChar w:fldCharType="end"/>
      </w:r>
      <w:r w:rsidRPr="001E4C6F">
        <w:rPr>
          <w:b/>
        </w:rPr>
        <w:t>: Mean percentage ±SD composition, relative to total fat of major fatty acids in seed from MS11 and the N90-740 control collected from nine locations</w:t>
      </w:r>
      <w:bookmarkEnd w:id="41"/>
    </w:p>
    <w:p w14:paraId="22E4418C" w14:textId="77777777" w:rsidR="0033454E" w:rsidRPr="00283E37" w:rsidRDefault="0033454E" w:rsidP="0033454E">
      <w:pPr>
        <w:rPr>
          <w:color w:val="000000" w:themeColor="text1"/>
          <w:sz w:val="18"/>
          <w:lang w:val="en-AU" w:bidi="ar-S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276"/>
        <w:gridCol w:w="1275"/>
        <w:gridCol w:w="1317"/>
        <w:gridCol w:w="951"/>
        <w:gridCol w:w="993"/>
        <w:gridCol w:w="1275"/>
        <w:gridCol w:w="1161"/>
      </w:tblGrid>
      <w:tr w:rsidR="005E74A2" w:rsidRPr="00420FFA" w14:paraId="2C9A55A8" w14:textId="77777777" w:rsidTr="00F047B6">
        <w:trPr>
          <w:trHeight w:val="880"/>
          <w:tblHeader/>
          <w:jc w:val="center"/>
        </w:trPr>
        <w:tc>
          <w:tcPr>
            <w:tcW w:w="1178" w:type="dxa"/>
            <w:shd w:val="clear" w:color="auto" w:fill="9BBB59" w:themeFill="accent3"/>
            <w:noWrap/>
            <w:vAlign w:val="center"/>
          </w:tcPr>
          <w:p w14:paraId="29B34A5D"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Fatty acid         % total</w:t>
            </w:r>
          </w:p>
        </w:tc>
        <w:tc>
          <w:tcPr>
            <w:tcW w:w="1276" w:type="dxa"/>
            <w:shd w:val="clear" w:color="auto" w:fill="9BBB59" w:themeFill="accent3"/>
            <w:vAlign w:val="center"/>
          </w:tcPr>
          <w:p w14:paraId="5E389598" w14:textId="77777777" w:rsidR="0033454E" w:rsidRPr="001E4C6F" w:rsidRDefault="0033454E" w:rsidP="0033454E">
            <w:pPr>
              <w:jc w:val="center"/>
              <w:rPr>
                <w:rFonts w:eastAsiaTheme="minorHAnsi" w:cs="Arial"/>
                <w:b/>
                <w:color w:val="FFFFFF" w:themeColor="background1"/>
                <w:sz w:val="18"/>
                <w:szCs w:val="18"/>
              </w:rPr>
            </w:pPr>
            <w:r w:rsidRPr="001E4C6F">
              <w:rPr>
                <w:rFonts w:eastAsiaTheme="minorHAnsi" w:cs="Arial"/>
                <w:b/>
                <w:color w:val="FFFFFF" w:themeColor="background1"/>
                <w:sz w:val="18"/>
                <w:szCs w:val="18"/>
              </w:rPr>
              <w:t xml:space="preserve">N90-740 </w:t>
            </w:r>
          </w:p>
          <w:p w14:paraId="3BCFD0D2" w14:textId="77777777" w:rsidR="0033454E" w:rsidRPr="001E4C6F" w:rsidRDefault="0033454E" w:rsidP="0033454E">
            <w:pPr>
              <w:jc w:val="center"/>
              <w:rPr>
                <w:rFonts w:cs="Arial"/>
                <w:b/>
                <w:bCs/>
                <w:color w:val="FFFFFF" w:themeColor="background1"/>
                <w:sz w:val="18"/>
                <w:szCs w:val="18"/>
              </w:rPr>
            </w:pPr>
            <w:r w:rsidRPr="001E4C6F">
              <w:rPr>
                <w:rFonts w:eastAsiaTheme="minorHAnsi" w:cs="Arial"/>
                <w:b/>
                <w:color w:val="FFFFFF" w:themeColor="background1"/>
                <w:sz w:val="18"/>
                <w:szCs w:val="18"/>
              </w:rPr>
              <w:t>(A)</w:t>
            </w:r>
          </w:p>
        </w:tc>
        <w:tc>
          <w:tcPr>
            <w:tcW w:w="1275" w:type="dxa"/>
            <w:shd w:val="clear" w:color="auto" w:fill="9BBB59" w:themeFill="accent3"/>
            <w:vAlign w:val="center"/>
          </w:tcPr>
          <w:p w14:paraId="2E8AD1A5" w14:textId="77777777" w:rsidR="0033454E" w:rsidRPr="001E4C6F" w:rsidRDefault="0033454E" w:rsidP="0033454E">
            <w:pPr>
              <w:jc w:val="center"/>
              <w:rPr>
                <w:rFonts w:eastAsiaTheme="minorHAnsi" w:cs="Arial"/>
                <w:b/>
                <w:color w:val="FFFFFF" w:themeColor="background1"/>
                <w:sz w:val="18"/>
                <w:szCs w:val="18"/>
              </w:rPr>
            </w:pPr>
            <w:r w:rsidRPr="001E4C6F">
              <w:rPr>
                <w:rFonts w:eastAsiaTheme="minorHAnsi" w:cs="Arial"/>
                <w:b/>
                <w:color w:val="FFFFFF" w:themeColor="background1"/>
                <w:sz w:val="18"/>
                <w:szCs w:val="18"/>
              </w:rPr>
              <w:t>MS11 unsprayed (B)</w:t>
            </w:r>
          </w:p>
        </w:tc>
        <w:tc>
          <w:tcPr>
            <w:tcW w:w="1317" w:type="dxa"/>
            <w:shd w:val="clear" w:color="auto" w:fill="9BBB59" w:themeFill="accent3"/>
            <w:vAlign w:val="center"/>
          </w:tcPr>
          <w:p w14:paraId="1E997A1D"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 xml:space="preserve">MS11 sprayed </w:t>
            </w:r>
          </w:p>
          <w:p w14:paraId="00EE75D8"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(C)</w:t>
            </w:r>
          </w:p>
        </w:tc>
        <w:tc>
          <w:tcPr>
            <w:tcW w:w="951" w:type="dxa"/>
            <w:shd w:val="clear" w:color="auto" w:fill="9BBB59" w:themeFill="accent3"/>
            <w:vAlign w:val="center"/>
          </w:tcPr>
          <w:p w14:paraId="572B81A3"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p-value</w:t>
            </w:r>
          </w:p>
          <w:p w14:paraId="3B191D76" w14:textId="77777777" w:rsidR="0033454E" w:rsidRPr="001E4C6F" w:rsidRDefault="0033454E" w:rsidP="0033454E">
            <w:pPr>
              <w:jc w:val="center"/>
              <w:rPr>
                <w:rFonts w:cs="Arial"/>
                <w:b/>
                <w:bCs/>
                <w:color w:val="FFFFFF" w:themeColor="background1"/>
                <w:sz w:val="18"/>
                <w:szCs w:val="18"/>
                <w:vertAlign w:val="superscript"/>
              </w:rPr>
            </w:pPr>
            <w:r w:rsidRPr="001E4C6F">
              <w:rPr>
                <w:rFonts w:cs="Arial"/>
                <w:b/>
                <w:bCs/>
                <w:color w:val="FFFFFF" w:themeColor="background1"/>
                <w:sz w:val="18"/>
                <w:szCs w:val="18"/>
              </w:rPr>
              <w:t xml:space="preserve"> A vs B</w:t>
            </w:r>
          </w:p>
        </w:tc>
        <w:tc>
          <w:tcPr>
            <w:tcW w:w="993" w:type="dxa"/>
            <w:shd w:val="clear" w:color="auto" w:fill="9BBB59" w:themeFill="accent3"/>
            <w:vAlign w:val="center"/>
          </w:tcPr>
          <w:p w14:paraId="4D8C159A" w14:textId="77777777" w:rsidR="0033454E" w:rsidRPr="001E4C6F" w:rsidRDefault="0033454E" w:rsidP="0033454E">
            <w:pPr>
              <w:jc w:val="center"/>
              <w:rPr>
                <w:rFonts w:cs="Arial"/>
                <w:b/>
                <w:bCs/>
                <w:color w:val="FFFFFF" w:themeColor="background1"/>
                <w:sz w:val="18"/>
                <w:szCs w:val="18"/>
                <w:vertAlign w:val="superscript"/>
              </w:rPr>
            </w:pPr>
            <w:r w:rsidRPr="001E4C6F">
              <w:rPr>
                <w:rFonts w:cs="Arial"/>
                <w:b/>
                <w:bCs/>
                <w:color w:val="FFFFFF" w:themeColor="background1"/>
                <w:sz w:val="18"/>
                <w:szCs w:val="18"/>
              </w:rPr>
              <w:t>p-value</w:t>
            </w:r>
            <w:r w:rsidRPr="001E4C6F">
              <w:rPr>
                <w:rFonts w:cs="Arial"/>
                <w:b/>
                <w:bCs/>
                <w:color w:val="FFFFFF" w:themeColor="background1"/>
                <w:sz w:val="18"/>
                <w:szCs w:val="18"/>
                <w:vertAlign w:val="superscript"/>
              </w:rPr>
              <w:t>1</w:t>
            </w:r>
          </w:p>
          <w:p w14:paraId="122597B4"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A vs C</w:t>
            </w:r>
          </w:p>
        </w:tc>
        <w:tc>
          <w:tcPr>
            <w:tcW w:w="1275" w:type="dxa"/>
            <w:shd w:val="clear" w:color="auto" w:fill="9BBB59" w:themeFill="accent3"/>
            <w:vAlign w:val="center"/>
          </w:tcPr>
          <w:p w14:paraId="4739974D"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95% Tolerance interval</w:t>
            </w:r>
          </w:p>
        </w:tc>
        <w:tc>
          <w:tcPr>
            <w:tcW w:w="1161" w:type="dxa"/>
            <w:shd w:val="clear" w:color="auto" w:fill="9BBB59" w:themeFill="accent3"/>
            <w:vAlign w:val="center"/>
          </w:tcPr>
          <w:p w14:paraId="076E46AF" w14:textId="77777777" w:rsidR="0033454E" w:rsidRPr="001E4C6F" w:rsidRDefault="0033454E" w:rsidP="0033454E">
            <w:pPr>
              <w:jc w:val="center"/>
              <w:rPr>
                <w:rFonts w:cs="Arial"/>
                <w:b/>
                <w:bCs/>
                <w:color w:val="FFFFFF" w:themeColor="background1"/>
                <w:sz w:val="18"/>
                <w:szCs w:val="18"/>
              </w:rPr>
            </w:pPr>
            <w:r w:rsidRPr="001E4C6F">
              <w:rPr>
                <w:rFonts w:cs="Arial"/>
                <w:b/>
                <w:bCs/>
                <w:color w:val="FFFFFF" w:themeColor="background1"/>
                <w:sz w:val="18"/>
                <w:szCs w:val="18"/>
              </w:rPr>
              <w:t>Combined literature</w:t>
            </w:r>
            <w:r w:rsidRPr="001E4C6F">
              <w:rPr>
                <w:rFonts w:cs="Arial"/>
                <w:b/>
                <w:bCs/>
                <w:color w:val="FFFFFF" w:themeColor="background1"/>
                <w:sz w:val="18"/>
                <w:szCs w:val="18"/>
              </w:rPr>
              <w:br/>
              <w:t xml:space="preserve">range </w:t>
            </w:r>
          </w:p>
        </w:tc>
      </w:tr>
      <w:tr w:rsidR="005E74A2" w:rsidRPr="00420FFA" w14:paraId="1E09FFCC" w14:textId="77777777" w:rsidTr="00F047B6">
        <w:trPr>
          <w:trHeight w:val="510"/>
          <w:jc w:val="center"/>
        </w:trPr>
        <w:tc>
          <w:tcPr>
            <w:tcW w:w="1178" w:type="dxa"/>
            <w:shd w:val="clear" w:color="auto" w:fill="FFFFFF" w:themeFill="background1"/>
            <w:noWrap/>
            <w:vAlign w:val="center"/>
          </w:tcPr>
          <w:p w14:paraId="37D4DCB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Palmitic (16:0)</w:t>
            </w:r>
          </w:p>
        </w:tc>
        <w:tc>
          <w:tcPr>
            <w:tcW w:w="1276" w:type="dxa"/>
            <w:shd w:val="clear" w:color="auto" w:fill="FFFFFF" w:themeFill="background1"/>
            <w:vAlign w:val="center"/>
          </w:tcPr>
          <w:p w14:paraId="7C23DAF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4.17±0.18</w:t>
            </w:r>
          </w:p>
        </w:tc>
        <w:tc>
          <w:tcPr>
            <w:tcW w:w="1275" w:type="dxa"/>
            <w:shd w:val="clear" w:color="auto" w:fill="FFFFFF" w:themeFill="background1"/>
            <w:vAlign w:val="center"/>
          </w:tcPr>
          <w:p w14:paraId="06939C4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4.21±0.20</w:t>
            </w:r>
          </w:p>
        </w:tc>
        <w:tc>
          <w:tcPr>
            <w:tcW w:w="1317" w:type="dxa"/>
            <w:shd w:val="clear" w:color="auto" w:fill="FDE9D9" w:themeFill="accent6" w:themeFillTint="33"/>
            <w:vAlign w:val="center"/>
          </w:tcPr>
          <w:p w14:paraId="67DE4CBE"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4.34±0.20</w:t>
            </w:r>
            <w:r w:rsidRPr="001E4C6F">
              <w:rPr>
                <w:rFonts w:cs="Arial"/>
                <w:color w:val="000000" w:themeColor="text1"/>
                <w:sz w:val="18"/>
                <w:szCs w:val="18"/>
                <w:vertAlign w:val="superscript"/>
              </w:rPr>
              <w:t>4</w:t>
            </w:r>
          </w:p>
        </w:tc>
        <w:tc>
          <w:tcPr>
            <w:tcW w:w="951" w:type="dxa"/>
            <w:shd w:val="clear" w:color="auto" w:fill="FFFFFF" w:themeFill="background1"/>
            <w:vAlign w:val="center"/>
          </w:tcPr>
          <w:p w14:paraId="5632FAC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0.357</w:t>
            </w:r>
          </w:p>
        </w:tc>
        <w:tc>
          <w:tcPr>
            <w:tcW w:w="993" w:type="dxa"/>
            <w:shd w:val="clear" w:color="auto" w:fill="FFFFFF" w:themeFill="background1"/>
            <w:vAlign w:val="center"/>
          </w:tcPr>
          <w:p w14:paraId="7CCB7164"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0.013</w:t>
            </w:r>
          </w:p>
        </w:tc>
        <w:tc>
          <w:tcPr>
            <w:tcW w:w="1275" w:type="dxa"/>
            <w:shd w:val="clear" w:color="auto" w:fill="FFFFFF" w:themeFill="background1"/>
            <w:vAlign w:val="center"/>
          </w:tcPr>
          <w:p w14:paraId="23CA060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3.34, 5.22</w:t>
            </w:r>
          </w:p>
        </w:tc>
        <w:tc>
          <w:tcPr>
            <w:tcW w:w="1161" w:type="dxa"/>
            <w:shd w:val="clear" w:color="auto" w:fill="FFFFFF" w:themeFill="background1"/>
            <w:noWrap/>
            <w:vAlign w:val="center"/>
          </w:tcPr>
          <w:p w14:paraId="18555E2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2.7 – 7.0</w:t>
            </w:r>
          </w:p>
        </w:tc>
      </w:tr>
      <w:tr w:rsidR="005E74A2" w:rsidRPr="00420FFA" w14:paraId="6E21712D" w14:textId="77777777" w:rsidTr="00F047B6">
        <w:trPr>
          <w:trHeight w:val="510"/>
          <w:jc w:val="center"/>
        </w:trPr>
        <w:tc>
          <w:tcPr>
            <w:tcW w:w="1178" w:type="dxa"/>
            <w:shd w:val="clear" w:color="auto" w:fill="EAF1DD" w:themeFill="accent3" w:themeFillTint="33"/>
            <w:noWrap/>
            <w:vAlign w:val="center"/>
          </w:tcPr>
          <w:p w14:paraId="00A6F1B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Palmitoleic (16:1)</w:t>
            </w:r>
          </w:p>
        </w:tc>
        <w:tc>
          <w:tcPr>
            <w:tcW w:w="1276" w:type="dxa"/>
            <w:shd w:val="clear" w:color="auto" w:fill="EAF1DD" w:themeFill="accent3" w:themeFillTint="33"/>
            <w:vAlign w:val="center"/>
          </w:tcPr>
          <w:p w14:paraId="1F94446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0.226±0.018</w:t>
            </w:r>
          </w:p>
        </w:tc>
        <w:tc>
          <w:tcPr>
            <w:tcW w:w="1275" w:type="dxa"/>
            <w:shd w:val="clear" w:color="auto" w:fill="EAF1DD" w:themeFill="accent3" w:themeFillTint="33"/>
            <w:vAlign w:val="center"/>
          </w:tcPr>
          <w:p w14:paraId="16105F5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0.215±0.018</w:t>
            </w:r>
          </w:p>
        </w:tc>
        <w:tc>
          <w:tcPr>
            <w:tcW w:w="1317" w:type="dxa"/>
            <w:shd w:val="clear" w:color="auto" w:fill="EAF1DD" w:themeFill="accent3" w:themeFillTint="33"/>
            <w:vAlign w:val="center"/>
          </w:tcPr>
          <w:p w14:paraId="0D253AC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0.235±0.021</w:t>
            </w:r>
          </w:p>
        </w:tc>
        <w:tc>
          <w:tcPr>
            <w:tcW w:w="951" w:type="dxa"/>
            <w:shd w:val="clear" w:color="auto" w:fill="EAF1DD" w:themeFill="accent3" w:themeFillTint="33"/>
            <w:vAlign w:val="center"/>
          </w:tcPr>
          <w:p w14:paraId="684C6A5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0.067</w:t>
            </w:r>
          </w:p>
        </w:tc>
        <w:tc>
          <w:tcPr>
            <w:tcW w:w="993" w:type="dxa"/>
            <w:shd w:val="clear" w:color="auto" w:fill="EAF1DD" w:themeFill="accent3" w:themeFillTint="33"/>
            <w:vAlign w:val="center"/>
          </w:tcPr>
          <w:p w14:paraId="5697D0A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0.175</w:t>
            </w:r>
          </w:p>
        </w:tc>
        <w:tc>
          <w:tcPr>
            <w:tcW w:w="1275" w:type="dxa"/>
            <w:shd w:val="clear" w:color="auto" w:fill="EAF1DD" w:themeFill="accent3" w:themeFillTint="33"/>
            <w:vAlign w:val="center"/>
          </w:tcPr>
          <w:p w14:paraId="192D48E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0.179, 0.302</w:t>
            </w:r>
          </w:p>
        </w:tc>
        <w:tc>
          <w:tcPr>
            <w:tcW w:w="1161" w:type="dxa"/>
            <w:shd w:val="clear" w:color="auto" w:fill="EAF1DD" w:themeFill="accent3" w:themeFillTint="33"/>
            <w:noWrap/>
            <w:vAlign w:val="center"/>
          </w:tcPr>
          <w:p w14:paraId="7952876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2</w:t>
            </w:r>
            <w:r w:rsidRPr="001E4C6F">
              <w:rPr>
                <w:rFonts w:cs="Arial"/>
                <w:color w:val="000000" w:themeColor="text1"/>
                <w:sz w:val="18"/>
                <w:szCs w:val="18"/>
              </w:rPr>
              <w:t xml:space="preserve"> – 0.6</w:t>
            </w:r>
          </w:p>
        </w:tc>
      </w:tr>
      <w:tr w:rsidR="005E74A2" w:rsidRPr="00420FFA" w14:paraId="3C396280" w14:textId="77777777" w:rsidTr="00F047B6">
        <w:trPr>
          <w:trHeight w:val="510"/>
          <w:jc w:val="center"/>
        </w:trPr>
        <w:tc>
          <w:tcPr>
            <w:tcW w:w="1178" w:type="dxa"/>
            <w:shd w:val="clear" w:color="auto" w:fill="FFFFFF" w:themeFill="background1"/>
            <w:noWrap/>
            <w:vAlign w:val="center"/>
          </w:tcPr>
          <w:p w14:paraId="13FFC7CE"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Stearic (18:0)</w:t>
            </w:r>
          </w:p>
        </w:tc>
        <w:tc>
          <w:tcPr>
            <w:tcW w:w="1276" w:type="dxa"/>
            <w:shd w:val="clear" w:color="auto" w:fill="FFFFFF" w:themeFill="background1"/>
            <w:vAlign w:val="center"/>
          </w:tcPr>
          <w:p w14:paraId="56A0F86F"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2.16±0.25</w:t>
            </w:r>
          </w:p>
        </w:tc>
        <w:tc>
          <w:tcPr>
            <w:tcW w:w="1275" w:type="dxa"/>
            <w:shd w:val="clear" w:color="auto" w:fill="FFFFFF" w:themeFill="background1"/>
            <w:vAlign w:val="center"/>
          </w:tcPr>
          <w:p w14:paraId="7867A8EA"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2.22±0.28</w:t>
            </w:r>
          </w:p>
        </w:tc>
        <w:tc>
          <w:tcPr>
            <w:tcW w:w="1317" w:type="dxa"/>
            <w:shd w:val="clear" w:color="auto" w:fill="FDE9D9" w:themeFill="accent6" w:themeFillTint="33"/>
            <w:vAlign w:val="center"/>
          </w:tcPr>
          <w:p w14:paraId="3BC81D1B"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2.27±0.34</w:t>
            </w:r>
            <w:r w:rsidRPr="001E4C6F">
              <w:rPr>
                <w:rFonts w:cs="Arial"/>
                <w:color w:val="000000" w:themeColor="text1"/>
                <w:sz w:val="18"/>
                <w:szCs w:val="18"/>
                <w:vertAlign w:val="superscript"/>
              </w:rPr>
              <w:t>2</w:t>
            </w:r>
          </w:p>
        </w:tc>
        <w:tc>
          <w:tcPr>
            <w:tcW w:w="951" w:type="dxa"/>
            <w:shd w:val="clear" w:color="auto" w:fill="FFFFFF" w:themeFill="background1"/>
            <w:vAlign w:val="center"/>
          </w:tcPr>
          <w:p w14:paraId="071177A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0.236</w:t>
            </w:r>
          </w:p>
        </w:tc>
        <w:tc>
          <w:tcPr>
            <w:tcW w:w="993" w:type="dxa"/>
            <w:shd w:val="clear" w:color="auto" w:fill="FFFFFF" w:themeFill="background1"/>
            <w:vAlign w:val="center"/>
          </w:tcPr>
          <w:p w14:paraId="44279875"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0.009</w:t>
            </w:r>
          </w:p>
        </w:tc>
        <w:tc>
          <w:tcPr>
            <w:tcW w:w="1275" w:type="dxa"/>
            <w:shd w:val="clear" w:color="auto" w:fill="FFFFFF" w:themeFill="background1"/>
            <w:vAlign w:val="center"/>
          </w:tcPr>
          <w:p w14:paraId="3E109E1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1.40, 2.72</w:t>
            </w:r>
          </w:p>
        </w:tc>
        <w:tc>
          <w:tcPr>
            <w:tcW w:w="1161" w:type="dxa"/>
            <w:shd w:val="clear" w:color="auto" w:fill="FFFFFF" w:themeFill="background1"/>
            <w:noWrap/>
            <w:vAlign w:val="center"/>
          </w:tcPr>
          <w:p w14:paraId="1E8DAD2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0.8 – 3.0</w:t>
            </w:r>
          </w:p>
        </w:tc>
      </w:tr>
      <w:tr w:rsidR="005E74A2" w:rsidRPr="00420FFA" w14:paraId="29F1356B" w14:textId="77777777" w:rsidTr="00F047B6">
        <w:trPr>
          <w:trHeight w:val="510"/>
          <w:jc w:val="center"/>
        </w:trPr>
        <w:tc>
          <w:tcPr>
            <w:tcW w:w="1178" w:type="dxa"/>
            <w:shd w:val="clear" w:color="auto" w:fill="EAF1DD" w:themeFill="accent3" w:themeFillTint="33"/>
            <w:noWrap/>
            <w:vAlign w:val="center"/>
          </w:tcPr>
          <w:p w14:paraId="0084A97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Oleic (18:1)</w:t>
            </w:r>
          </w:p>
        </w:tc>
        <w:tc>
          <w:tcPr>
            <w:tcW w:w="1276" w:type="dxa"/>
            <w:shd w:val="clear" w:color="auto" w:fill="EAF1DD" w:themeFill="accent3" w:themeFillTint="33"/>
            <w:vAlign w:val="center"/>
          </w:tcPr>
          <w:p w14:paraId="7C65C8F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63.1±2.0</w:t>
            </w:r>
          </w:p>
        </w:tc>
        <w:tc>
          <w:tcPr>
            <w:tcW w:w="1275" w:type="dxa"/>
            <w:shd w:val="clear" w:color="auto" w:fill="EAF1DD" w:themeFill="accent3" w:themeFillTint="33"/>
            <w:vAlign w:val="center"/>
          </w:tcPr>
          <w:p w14:paraId="67DC89C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63.5±2.0</w:t>
            </w:r>
          </w:p>
        </w:tc>
        <w:tc>
          <w:tcPr>
            <w:tcW w:w="1317" w:type="dxa"/>
            <w:shd w:val="clear" w:color="auto" w:fill="E5DFEC" w:themeFill="accent4" w:themeFillTint="33"/>
            <w:vAlign w:val="center"/>
          </w:tcPr>
          <w:p w14:paraId="129F2E1B"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61.6±2.5</w:t>
            </w:r>
            <w:r w:rsidRPr="001E4C6F">
              <w:rPr>
                <w:rFonts w:cs="Arial"/>
                <w:color w:val="000000" w:themeColor="text1"/>
                <w:sz w:val="18"/>
                <w:szCs w:val="18"/>
                <w:vertAlign w:val="superscript"/>
              </w:rPr>
              <w:t>2</w:t>
            </w:r>
          </w:p>
        </w:tc>
        <w:tc>
          <w:tcPr>
            <w:tcW w:w="951" w:type="dxa"/>
            <w:shd w:val="clear" w:color="auto" w:fill="EAF1DD" w:themeFill="accent3" w:themeFillTint="33"/>
            <w:vAlign w:val="center"/>
          </w:tcPr>
          <w:p w14:paraId="7FB870D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0.433</w:t>
            </w:r>
          </w:p>
        </w:tc>
        <w:tc>
          <w:tcPr>
            <w:tcW w:w="993" w:type="dxa"/>
            <w:shd w:val="clear" w:color="auto" w:fill="EAF1DD" w:themeFill="accent3" w:themeFillTint="33"/>
            <w:vAlign w:val="center"/>
          </w:tcPr>
          <w:p w14:paraId="61CEAAD2"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275" w:type="dxa"/>
            <w:shd w:val="clear" w:color="auto" w:fill="EAF1DD" w:themeFill="accent3" w:themeFillTint="33"/>
            <w:vAlign w:val="center"/>
          </w:tcPr>
          <w:p w14:paraId="507C20B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52.2, 69.3</w:t>
            </w:r>
          </w:p>
        </w:tc>
        <w:tc>
          <w:tcPr>
            <w:tcW w:w="1161" w:type="dxa"/>
            <w:shd w:val="clear" w:color="auto" w:fill="EAF1DD" w:themeFill="accent3" w:themeFillTint="33"/>
            <w:noWrap/>
            <w:vAlign w:val="center"/>
          </w:tcPr>
          <w:p w14:paraId="44FFF1EF"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8.0 – 60.0</w:t>
            </w:r>
          </w:p>
        </w:tc>
      </w:tr>
      <w:tr w:rsidR="005E74A2" w:rsidRPr="00420FFA" w14:paraId="2BFF7C7F" w14:textId="77777777" w:rsidTr="00F047B6">
        <w:trPr>
          <w:trHeight w:val="510"/>
          <w:jc w:val="center"/>
        </w:trPr>
        <w:tc>
          <w:tcPr>
            <w:tcW w:w="1178" w:type="dxa"/>
            <w:shd w:val="clear" w:color="auto" w:fill="FFFFFF" w:themeFill="background1"/>
            <w:noWrap/>
            <w:vAlign w:val="center"/>
          </w:tcPr>
          <w:p w14:paraId="259B0A5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Linoleic (18:2)</w:t>
            </w:r>
          </w:p>
        </w:tc>
        <w:tc>
          <w:tcPr>
            <w:tcW w:w="1276" w:type="dxa"/>
            <w:shd w:val="clear" w:color="auto" w:fill="FFFFFF" w:themeFill="background1"/>
            <w:vAlign w:val="center"/>
          </w:tcPr>
          <w:p w14:paraId="47E75AA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18.4±1.0</w:t>
            </w:r>
          </w:p>
        </w:tc>
        <w:tc>
          <w:tcPr>
            <w:tcW w:w="1275" w:type="dxa"/>
            <w:shd w:val="clear" w:color="auto" w:fill="FFFFFF" w:themeFill="background1"/>
            <w:vAlign w:val="center"/>
          </w:tcPr>
          <w:p w14:paraId="118CBBD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18.2±1.0</w:t>
            </w:r>
          </w:p>
        </w:tc>
        <w:tc>
          <w:tcPr>
            <w:tcW w:w="1317" w:type="dxa"/>
            <w:shd w:val="clear" w:color="auto" w:fill="FFFFFF" w:themeFill="background1"/>
            <w:vAlign w:val="center"/>
          </w:tcPr>
          <w:p w14:paraId="5F0EE96A"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18.8±1.3</w:t>
            </w:r>
          </w:p>
        </w:tc>
        <w:tc>
          <w:tcPr>
            <w:tcW w:w="951" w:type="dxa"/>
            <w:shd w:val="clear" w:color="auto" w:fill="FFFFFF" w:themeFill="background1"/>
            <w:vAlign w:val="center"/>
          </w:tcPr>
          <w:p w14:paraId="5A1D7E31"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0.543</w:t>
            </w:r>
          </w:p>
        </w:tc>
        <w:tc>
          <w:tcPr>
            <w:tcW w:w="993" w:type="dxa"/>
            <w:shd w:val="clear" w:color="auto" w:fill="FFFFFF" w:themeFill="background1"/>
            <w:vAlign w:val="center"/>
          </w:tcPr>
          <w:p w14:paraId="387F133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0.207</w:t>
            </w:r>
          </w:p>
        </w:tc>
        <w:tc>
          <w:tcPr>
            <w:tcW w:w="1275" w:type="dxa"/>
            <w:shd w:val="clear" w:color="auto" w:fill="FFFFFF" w:themeFill="background1"/>
            <w:vAlign w:val="center"/>
          </w:tcPr>
          <w:p w14:paraId="7E10F0A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13.9, 26.6</w:t>
            </w:r>
          </w:p>
        </w:tc>
        <w:tc>
          <w:tcPr>
            <w:tcW w:w="1161" w:type="dxa"/>
            <w:shd w:val="clear" w:color="auto" w:fill="FFFFFF" w:themeFill="background1"/>
            <w:noWrap/>
            <w:vAlign w:val="center"/>
          </w:tcPr>
          <w:p w14:paraId="6AED4867"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15.0 – 30.0</w:t>
            </w:r>
          </w:p>
        </w:tc>
      </w:tr>
      <w:tr w:rsidR="005E74A2" w:rsidRPr="00420FFA" w14:paraId="71948702" w14:textId="77777777" w:rsidTr="00F047B6">
        <w:trPr>
          <w:trHeight w:val="510"/>
          <w:jc w:val="center"/>
        </w:trPr>
        <w:tc>
          <w:tcPr>
            <w:tcW w:w="1178" w:type="dxa"/>
            <w:shd w:val="clear" w:color="auto" w:fill="EAF1DD" w:themeFill="accent3" w:themeFillTint="33"/>
            <w:noWrap/>
            <w:vAlign w:val="center"/>
          </w:tcPr>
          <w:p w14:paraId="0357EF5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α-Linolenic (18:3)</w:t>
            </w:r>
          </w:p>
        </w:tc>
        <w:tc>
          <w:tcPr>
            <w:tcW w:w="1276" w:type="dxa"/>
            <w:shd w:val="clear" w:color="auto" w:fill="EAF1DD" w:themeFill="accent3" w:themeFillTint="33"/>
            <w:vAlign w:val="center"/>
          </w:tcPr>
          <w:p w14:paraId="5F851F2A"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9.05±1.40</w:t>
            </w:r>
          </w:p>
        </w:tc>
        <w:tc>
          <w:tcPr>
            <w:tcW w:w="1275" w:type="dxa"/>
            <w:shd w:val="clear" w:color="auto" w:fill="EAF1DD" w:themeFill="accent3" w:themeFillTint="33"/>
            <w:vAlign w:val="center"/>
          </w:tcPr>
          <w:p w14:paraId="11096A3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8.70±1.41</w:t>
            </w:r>
          </w:p>
        </w:tc>
        <w:tc>
          <w:tcPr>
            <w:tcW w:w="1317" w:type="dxa"/>
            <w:shd w:val="clear" w:color="auto" w:fill="EAF1DD" w:themeFill="accent3" w:themeFillTint="33"/>
            <w:vAlign w:val="center"/>
          </w:tcPr>
          <w:p w14:paraId="313BD522"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9.55±1.49</w:t>
            </w:r>
          </w:p>
        </w:tc>
        <w:tc>
          <w:tcPr>
            <w:tcW w:w="951" w:type="dxa"/>
            <w:shd w:val="clear" w:color="auto" w:fill="EAF1DD" w:themeFill="accent3" w:themeFillTint="33"/>
            <w:vAlign w:val="center"/>
          </w:tcPr>
          <w:p w14:paraId="5F6C527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0.085</w:t>
            </w:r>
          </w:p>
        </w:tc>
        <w:tc>
          <w:tcPr>
            <w:tcW w:w="993" w:type="dxa"/>
            <w:shd w:val="clear" w:color="auto" w:fill="EAF1DD" w:themeFill="accent3" w:themeFillTint="33"/>
            <w:vAlign w:val="center"/>
          </w:tcPr>
          <w:p w14:paraId="59A391C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0.053</w:t>
            </w:r>
          </w:p>
        </w:tc>
        <w:tc>
          <w:tcPr>
            <w:tcW w:w="1275" w:type="dxa"/>
            <w:shd w:val="clear" w:color="auto" w:fill="EAF1DD" w:themeFill="accent3" w:themeFillTint="33"/>
            <w:vAlign w:val="center"/>
          </w:tcPr>
          <w:p w14:paraId="731BE87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4.06, 14.37</w:t>
            </w:r>
          </w:p>
        </w:tc>
        <w:tc>
          <w:tcPr>
            <w:tcW w:w="1161" w:type="dxa"/>
            <w:shd w:val="clear" w:color="auto" w:fill="EAF1DD" w:themeFill="accent3" w:themeFillTint="33"/>
            <w:noWrap/>
            <w:vAlign w:val="center"/>
          </w:tcPr>
          <w:p w14:paraId="10B1018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5.0 – 13.0</w:t>
            </w:r>
          </w:p>
        </w:tc>
      </w:tr>
      <w:tr w:rsidR="005E74A2" w:rsidRPr="00420FFA" w14:paraId="678D5E17" w14:textId="77777777" w:rsidTr="00F047B6">
        <w:trPr>
          <w:trHeight w:val="510"/>
          <w:jc w:val="center"/>
        </w:trPr>
        <w:tc>
          <w:tcPr>
            <w:tcW w:w="1178" w:type="dxa"/>
            <w:shd w:val="clear" w:color="auto" w:fill="FFFFFF" w:themeFill="background1"/>
            <w:noWrap/>
            <w:vAlign w:val="center"/>
          </w:tcPr>
          <w:p w14:paraId="6A0C584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Arachidic (20:0)</w:t>
            </w:r>
          </w:p>
        </w:tc>
        <w:tc>
          <w:tcPr>
            <w:tcW w:w="1276" w:type="dxa"/>
            <w:shd w:val="clear" w:color="auto" w:fill="FFFFFF" w:themeFill="background1"/>
            <w:vAlign w:val="center"/>
          </w:tcPr>
          <w:p w14:paraId="76A4767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0.731±0.068</w:t>
            </w:r>
          </w:p>
        </w:tc>
        <w:tc>
          <w:tcPr>
            <w:tcW w:w="1275" w:type="dxa"/>
            <w:shd w:val="clear" w:color="auto" w:fill="FFFFFF" w:themeFill="background1"/>
            <w:vAlign w:val="center"/>
          </w:tcPr>
          <w:p w14:paraId="1E625E3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0.757±0.080</w:t>
            </w:r>
          </w:p>
        </w:tc>
        <w:tc>
          <w:tcPr>
            <w:tcW w:w="1317" w:type="dxa"/>
            <w:shd w:val="clear" w:color="auto" w:fill="FDE9D9" w:themeFill="accent6" w:themeFillTint="33"/>
            <w:vAlign w:val="center"/>
          </w:tcPr>
          <w:p w14:paraId="3EC47443"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0.782±0.103</w:t>
            </w:r>
            <w:r w:rsidRPr="001E4C6F">
              <w:rPr>
                <w:rFonts w:cs="Arial"/>
                <w:color w:val="000000" w:themeColor="text1"/>
                <w:sz w:val="18"/>
                <w:szCs w:val="18"/>
                <w:vertAlign w:val="superscript"/>
              </w:rPr>
              <w:t>2</w:t>
            </w:r>
          </w:p>
        </w:tc>
        <w:tc>
          <w:tcPr>
            <w:tcW w:w="951" w:type="dxa"/>
            <w:shd w:val="clear" w:color="auto" w:fill="FFFFFF" w:themeFill="background1"/>
            <w:vAlign w:val="center"/>
          </w:tcPr>
          <w:p w14:paraId="11AD0EDA"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0.097</w:t>
            </w:r>
          </w:p>
        </w:tc>
        <w:tc>
          <w:tcPr>
            <w:tcW w:w="993" w:type="dxa"/>
            <w:shd w:val="clear" w:color="auto" w:fill="FFFFFF" w:themeFill="background1"/>
            <w:vAlign w:val="center"/>
          </w:tcPr>
          <w:p w14:paraId="371F72E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275" w:type="dxa"/>
            <w:shd w:val="clear" w:color="auto" w:fill="FFFFFF" w:themeFill="background1"/>
            <w:vAlign w:val="center"/>
          </w:tcPr>
          <w:p w14:paraId="4C86BF4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0.436, 0.936</w:t>
            </w:r>
          </w:p>
        </w:tc>
        <w:tc>
          <w:tcPr>
            <w:tcW w:w="1161" w:type="dxa"/>
            <w:shd w:val="clear" w:color="auto" w:fill="FFFFFF" w:themeFill="background1"/>
            <w:noWrap/>
            <w:vAlign w:val="center"/>
          </w:tcPr>
          <w:p w14:paraId="6864368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3</w:t>
            </w:r>
            <w:r w:rsidRPr="001E4C6F">
              <w:rPr>
                <w:rFonts w:cs="Arial"/>
                <w:color w:val="000000" w:themeColor="text1"/>
                <w:sz w:val="18"/>
                <w:szCs w:val="18"/>
              </w:rPr>
              <w:t xml:space="preserve"> – 3.0</w:t>
            </w:r>
          </w:p>
        </w:tc>
      </w:tr>
      <w:tr w:rsidR="005E74A2" w:rsidRPr="00420FFA" w14:paraId="076A478C" w14:textId="77777777" w:rsidTr="00F047B6">
        <w:trPr>
          <w:trHeight w:val="510"/>
          <w:jc w:val="center"/>
        </w:trPr>
        <w:tc>
          <w:tcPr>
            <w:tcW w:w="1178" w:type="dxa"/>
            <w:shd w:val="clear" w:color="auto" w:fill="EAF1DD" w:themeFill="accent3" w:themeFillTint="33"/>
            <w:noWrap/>
            <w:vAlign w:val="center"/>
          </w:tcPr>
          <w:p w14:paraId="355F924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Eicosenoic (20:1)</w:t>
            </w:r>
          </w:p>
        </w:tc>
        <w:tc>
          <w:tcPr>
            <w:tcW w:w="1276" w:type="dxa"/>
            <w:shd w:val="clear" w:color="auto" w:fill="EAF1DD" w:themeFill="accent3" w:themeFillTint="33"/>
            <w:vAlign w:val="center"/>
          </w:tcPr>
          <w:p w14:paraId="2E7B027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1.34±0.10</w:t>
            </w:r>
          </w:p>
        </w:tc>
        <w:tc>
          <w:tcPr>
            <w:tcW w:w="1275" w:type="dxa"/>
            <w:shd w:val="clear" w:color="auto" w:fill="EAF1DD" w:themeFill="accent3" w:themeFillTint="33"/>
            <w:vAlign w:val="center"/>
          </w:tcPr>
          <w:p w14:paraId="401B2956"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1.38±0.11</w:t>
            </w:r>
          </w:p>
        </w:tc>
        <w:tc>
          <w:tcPr>
            <w:tcW w:w="1317" w:type="dxa"/>
            <w:shd w:val="clear" w:color="auto" w:fill="EAF1DD" w:themeFill="accent3" w:themeFillTint="33"/>
            <w:vAlign w:val="center"/>
          </w:tcPr>
          <w:p w14:paraId="6D0D9D5C"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1.42±0.12</w:t>
            </w:r>
          </w:p>
        </w:tc>
        <w:tc>
          <w:tcPr>
            <w:tcW w:w="951" w:type="dxa"/>
            <w:shd w:val="clear" w:color="auto" w:fill="EAF1DD" w:themeFill="accent3" w:themeFillTint="33"/>
            <w:vAlign w:val="center"/>
          </w:tcPr>
          <w:p w14:paraId="3E5AB97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0.486</w:t>
            </w:r>
          </w:p>
        </w:tc>
        <w:tc>
          <w:tcPr>
            <w:tcW w:w="993" w:type="dxa"/>
            <w:shd w:val="clear" w:color="auto" w:fill="EAF1DD" w:themeFill="accent3" w:themeFillTint="33"/>
            <w:vAlign w:val="center"/>
          </w:tcPr>
          <w:p w14:paraId="39894153"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0.071</w:t>
            </w:r>
          </w:p>
        </w:tc>
        <w:tc>
          <w:tcPr>
            <w:tcW w:w="1275" w:type="dxa"/>
            <w:shd w:val="clear" w:color="auto" w:fill="EAF1DD" w:themeFill="accent3" w:themeFillTint="33"/>
            <w:vAlign w:val="center"/>
          </w:tcPr>
          <w:p w14:paraId="619BF11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0.11, 2.95</w:t>
            </w:r>
          </w:p>
        </w:tc>
        <w:tc>
          <w:tcPr>
            <w:tcW w:w="1161" w:type="dxa"/>
            <w:shd w:val="clear" w:color="auto" w:fill="EAF1DD" w:themeFill="accent3" w:themeFillTint="33"/>
            <w:noWrap/>
            <w:vAlign w:val="center"/>
          </w:tcPr>
          <w:p w14:paraId="367D7E7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3.0 – 15.0</w:t>
            </w:r>
          </w:p>
        </w:tc>
      </w:tr>
      <w:tr w:rsidR="005E74A2" w:rsidRPr="00420FFA" w14:paraId="382BD1E5" w14:textId="77777777" w:rsidTr="00F047B6">
        <w:trPr>
          <w:trHeight w:val="510"/>
          <w:jc w:val="center"/>
        </w:trPr>
        <w:tc>
          <w:tcPr>
            <w:tcW w:w="1178" w:type="dxa"/>
            <w:shd w:val="clear" w:color="auto" w:fill="FFFFFF" w:themeFill="background1"/>
            <w:noWrap/>
            <w:vAlign w:val="center"/>
          </w:tcPr>
          <w:p w14:paraId="134779F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Behenic (22:0)</w:t>
            </w:r>
          </w:p>
        </w:tc>
        <w:tc>
          <w:tcPr>
            <w:tcW w:w="1276" w:type="dxa"/>
            <w:shd w:val="clear" w:color="auto" w:fill="FFFFFF" w:themeFill="background1"/>
            <w:vAlign w:val="center"/>
          </w:tcPr>
          <w:p w14:paraId="381DA8E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0.408±0.042</w:t>
            </w:r>
          </w:p>
        </w:tc>
        <w:tc>
          <w:tcPr>
            <w:tcW w:w="1275" w:type="dxa"/>
            <w:shd w:val="clear" w:color="auto" w:fill="FFFFFF" w:themeFill="background1"/>
            <w:vAlign w:val="center"/>
          </w:tcPr>
          <w:p w14:paraId="64E49E85"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0.425±0.049</w:t>
            </w:r>
          </w:p>
        </w:tc>
        <w:tc>
          <w:tcPr>
            <w:tcW w:w="1317" w:type="dxa"/>
            <w:shd w:val="clear" w:color="auto" w:fill="FDE9D9" w:themeFill="accent6" w:themeFillTint="33"/>
            <w:vAlign w:val="center"/>
          </w:tcPr>
          <w:p w14:paraId="31A24BE7"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0.452±0.060</w:t>
            </w:r>
            <w:r w:rsidRPr="001E4C6F">
              <w:rPr>
                <w:rFonts w:cs="Arial"/>
                <w:color w:val="000000" w:themeColor="text1"/>
                <w:sz w:val="18"/>
                <w:szCs w:val="18"/>
                <w:vertAlign w:val="superscript"/>
              </w:rPr>
              <w:t>2</w:t>
            </w:r>
          </w:p>
        </w:tc>
        <w:tc>
          <w:tcPr>
            <w:tcW w:w="951" w:type="dxa"/>
            <w:shd w:val="clear" w:color="auto" w:fill="FFFFFF" w:themeFill="background1"/>
            <w:vAlign w:val="center"/>
          </w:tcPr>
          <w:p w14:paraId="3A46B2DD"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0.076</w:t>
            </w:r>
          </w:p>
        </w:tc>
        <w:tc>
          <w:tcPr>
            <w:tcW w:w="993" w:type="dxa"/>
            <w:shd w:val="clear" w:color="auto" w:fill="FFFFFF" w:themeFill="background1"/>
            <w:vAlign w:val="center"/>
          </w:tcPr>
          <w:p w14:paraId="454888E0"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275" w:type="dxa"/>
            <w:shd w:val="clear" w:color="auto" w:fill="FFFFFF" w:themeFill="background1"/>
            <w:vAlign w:val="center"/>
          </w:tcPr>
          <w:p w14:paraId="0AB7C2E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0.183, 0.547</w:t>
            </w:r>
          </w:p>
        </w:tc>
        <w:tc>
          <w:tcPr>
            <w:tcW w:w="1161" w:type="dxa"/>
            <w:shd w:val="clear" w:color="auto" w:fill="FFFFFF" w:themeFill="background1"/>
            <w:noWrap/>
            <w:vAlign w:val="center"/>
          </w:tcPr>
          <w:p w14:paraId="46BC12D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3</w:t>
            </w:r>
            <w:r w:rsidRPr="001E4C6F">
              <w:rPr>
                <w:rFonts w:cs="Arial"/>
                <w:color w:val="000000" w:themeColor="text1"/>
                <w:sz w:val="18"/>
                <w:szCs w:val="18"/>
              </w:rPr>
              <w:t xml:space="preserve"> – 2.0</w:t>
            </w:r>
          </w:p>
        </w:tc>
      </w:tr>
      <w:tr w:rsidR="005E74A2" w:rsidRPr="00420FFA" w14:paraId="535CAA06" w14:textId="77777777" w:rsidTr="00F047B6">
        <w:trPr>
          <w:trHeight w:val="510"/>
          <w:jc w:val="center"/>
        </w:trPr>
        <w:tc>
          <w:tcPr>
            <w:tcW w:w="1178" w:type="dxa"/>
            <w:shd w:val="clear" w:color="auto" w:fill="EAF1DD" w:themeFill="accent3" w:themeFillTint="33"/>
            <w:noWrap/>
            <w:vAlign w:val="center"/>
          </w:tcPr>
          <w:p w14:paraId="0420077A"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Lignoceric (24:0)</w:t>
            </w:r>
          </w:p>
        </w:tc>
        <w:tc>
          <w:tcPr>
            <w:tcW w:w="1276" w:type="dxa"/>
            <w:shd w:val="clear" w:color="auto" w:fill="EAF1DD" w:themeFill="accent3" w:themeFillTint="33"/>
            <w:vAlign w:val="center"/>
          </w:tcPr>
          <w:p w14:paraId="5BCB792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0.198±0.039</w:t>
            </w:r>
          </w:p>
        </w:tc>
        <w:tc>
          <w:tcPr>
            <w:tcW w:w="1275" w:type="dxa"/>
            <w:shd w:val="clear" w:color="auto" w:fill="EAF1DD" w:themeFill="accent3" w:themeFillTint="33"/>
            <w:vAlign w:val="center"/>
          </w:tcPr>
          <w:p w14:paraId="27F3E952"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0.209±0.043</w:t>
            </w:r>
          </w:p>
        </w:tc>
        <w:tc>
          <w:tcPr>
            <w:tcW w:w="1317" w:type="dxa"/>
            <w:shd w:val="clear" w:color="auto" w:fill="FDE9D9" w:themeFill="accent6" w:themeFillTint="33"/>
            <w:vAlign w:val="center"/>
          </w:tcPr>
          <w:p w14:paraId="534AB6F2"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0.234±0.055</w:t>
            </w:r>
            <w:r w:rsidRPr="001E4C6F">
              <w:rPr>
                <w:rFonts w:cs="Arial"/>
                <w:color w:val="000000" w:themeColor="text1"/>
                <w:sz w:val="18"/>
                <w:szCs w:val="18"/>
                <w:vertAlign w:val="superscript"/>
              </w:rPr>
              <w:t>2</w:t>
            </w:r>
          </w:p>
        </w:tc>
        <w:tc>
          <w:tcPr>
            <w:tcW w:w="951" w:type="dxa"/>
            <w:shd w:val="clear" w:color="auto" w:fill="EAF1DD" w:themeFill="accent3" w:themeFillTint="33"/>
            <w:vAlign w:val="center"/>
          </w:tcPr>
          <w:p w14:paraId="745938AE"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0.132</w:t>
            </w:r>
          </w:p>
        </w:tc>
        <w:tc>
          <w:tcPr>
            <w:tcW w:w="993" w:type="dxa"/>
            <w:shd w:val="clear" w:color="auto" w:fill="EAF1DD" w:themeFill="accent3" w:themeFillTint="33"/>
            <w:vAlign w:val="center"/>
          </w:tcPr>
          <w:p w14:paraId="1DE05217"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&lt;0.001</w:t>
            </w:r>
          </w:p>
        </w:tc>
        <w:tc>
          <w:tcPr>
            <w:tcW w:w="1275" w:type="dxa"/>
            <w:shd w:val="clear" w:color="auto" w:fill="EAF1DD" w:themeFill="accent3" w:themeFillTint="33"/>
            <w:vAlign w:val="center"/>
          </w:tcPr>
          <w:p w14:paraId="41B9FEF8"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0.075, 0.314</w:t>
            </w:r>
          </w:p>
        </w:tc>
        <w:tc>
          <w:tcPr>
            <w:tcW w:w="1161" w:type="dxa"/>
            <w:shd w:val="clear" w:color="auto" w:fill="EAF1DD" w:themeFill="accent3" w:themeFillTint="33"/>
            <w:noWrap/>
            <w:vAlign w:val="center"/>
          </w:tcPr>
          <w:p w14:paraId="177735EE"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3</w:t>
            </w:r>
            <w:r w:rsidRPr="001E4C6F">
              <w:rPr>
                <w:rFonts w:cs="Arial"/>
                <w:color w:val="000000" w:themeColor="text1"/>
                <w:sz w:val="18"/>
                <w:szCs w:val="18"/>
              </w:rPr>
              <w:t xml:space="preserve"> – 2.0</w:t>
            </w:r>
          </w:p>
        </w:tc>
      </w:tr>
      <w:tr w:rsidR="005E74A2" w:rsidRPr="00420FFA" w14:paraId="59140E8D" w14:textId="77777777" w:rsidTr="00F047B6">
        <w:trPr>
          <w:trHeight w:val="510"/>
          <w:jc w:val="center"/>
        </w:trPr>
        <w:tc>
          <w:tcPr>
            <w:tcW w:w="1178" w:type="dxa"/>
            <w:shd w:val="clear" w:color="auto" w:fill="FFFFFF" w:themeFill="background1"/>
            <w:noWrap/>
            <w:vAlign w:val="center"/>
          </w:tcPr>
          <w:p w14:paraId="24F39BB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Nervonic</w:t>
            </w:r>
          </w:p>
          <w:p w14:paraId="30A9BF21"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(24:1)</w:t>
            </w:r>
          </w:p>
        </w:tc>
        <w:tc>
          <w:tcPr>
            <w:tcW w:w="1276" w:type="dxa"/>
            <w:shd w:val="clear" w:color="auto" w:fill="FFFFFF" w:themeFill="background1"/>
            <w:vAlign w:val="center"/>
          </w:tcPr>
          <w:p w14:paraId="7B16344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0.195±0.043</w:t>
            </w:r>
          </w:p>
        </w:tc>
        <w:tc>
          <w:tcPr>
            <w:tcW w:w="1275" w:type="dxa"/>
            <w:shd w:val="clear" w:color="auto" w:fill="FFFFFF" w:themeFill="background1"/>
            <w:vAlign w:val="center"/>
          </w:tcPr>
          <w:p w14:paraId="1DE12340"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0.191±0.050</w:t>
            </w:r>
          </w:p>
        </w:tc>
        <w:tc>
          <w:tcPr>
            <w:tcW w:w="1317" w:type="dxa"/>
            <w:shd w:val="clear" w:color="auto" w:fill="FDE9D9" w:themeFill="accent6" w:themeFillTint="33"/>
            <w:vAlign w:val="center"/>
          </w:tcPr>
          <w:p w14:paraId="6112076B" w14:textId="77777777" w:rsidR="0033454E" w:rsidRPr="001E4C6F" w:rsidRDefault="0033454E" w:rsidP="0033454E">
            <w:pPr>
              <w:jc w:val="center"/>
              <w:rPr>
                <w:rFonts w:cs="Arial"/>
                <w:color w:val="000000" w:themeColor="text1"/>
                <w:sz w:val="18"/>
                <w:szCs w:val="18"/>
                <w:vertAlign w:val="superscript"/>
              </w:rPr>
            </w:pPr>
            <w:r w:rsidRPr="001E4C6F">
              <w:rPr>
                <w:rFonts w:cs="Arial"/>
                <w:color w:val="000000" w:themeColor="text1"/>
                <w:sz w:val="18"/>
                <w:szCs w:val="18"/>
              </w:rPr>
              <w:t>0.221±0.052</w:t>
            </w:r>
            <w:r w:rsidRPr="001E4C6F">
              <w:rPr>
                <w:rFonts w:cs="Arial"/>
                <w:color w:val="000000" w:themeColor="text1"/>
                <w:sz w:val="18"/>
                <w:szCs w:val="18"/>
                <w:vertAlign w:val="superscript"/>
              </w:rPr>
              <w:t>2</w:t>
            </w:r>
          </w:p>
        </w:tc>
        <w:tc>
          <w:tcPr>
            <w:tcW w:w="951" w:type="dxa"/>
            <w:shd w:val="clear" w:color="auto" w:fill="FFFFFF" w:themeFill="background1"/>
            <w:vAlign w:val="center"/>
          </w:tcPr>
          <w:p w14:paraId="0BB3846B"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0.896</w:t>
            </w:r>
          </w:p>
        </w:tc>
        <w:tc>
          <w:tcPr>
            <w:tcW w:w="993" w:type="dxa"/>
            <w:shd w:val="clear" w:color="auto" w:fill="FFFFFF" w:themeFill="background1"/>
            <w:vAlign w:val="center"/>
          </w:tcPr>
          <w:p w14:paraId="00EBA99C" w14:textId="77777777" w:rsidR="0033454E" w:rsidRPr="001E4C6F" w:rsidRDefault="0033454E" w:rsidP="0033454E">
            <w:pPr>
              <w:jc w:val="center"/>
              <w:rPr>
                <w:rFonts w:cs="Arial"/>
                <w:b/>
                <w:color w:val="000000" w:themeColor="text1"/>
                <w:sz w:val="18"/>
                <w:szCs w:val="18"/>
                <w:u w:val="single"/>
              </w:rPr>
            </w:pPr>
            <w:r w:rsidRPr="001E4C6F">
              <w:rPr>
                <w:rFonts w:cs="Arial"/>
                <w:b/>
                <w:color w:val="000000" w:themeColor="text1"/>
                <w:sz w:val="18"/>
                <w:szCs w:val="18"/>
                <w:u w:val="single"/>
              </w:rPr>
              <w:t>0.018</w:t>
            </w:r>
          </w:p>
        </w:tc>
        <w:tc>
          <w:tcPr>
            <w:tcW w:w="1275" w:type="dxa"/>
            <w:shd w:val="clear" w:color="auto" w:fill="FFFFFF" w:themeFill="background1"/>
            <w:vAlign w:val="center"/>
          </w:tcPr>
          <w:p w14:paraId="6BD663A4"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0.057, 0.338</w:t>
            </w:r>
          </w:p>
        </w:tc>
        <w:tc>
          <w:tcPr>
            <w:tcW w:w="1161" w:type="dxa"/>
            <w:shd w:val="clear" w:color="auto" w:fill="FFFFFF" w:themeFill="background1"/>
            <w:noWrap/>
            <w:vAlign w:val="center"/>
          </w:tcPr>
          <w:p w14:paraId="1AB97D99" w14:textId="77777777" w:rsidR="0033454E" w:rsidRPr="001E4C6F" w:rsidRDefault="0033454E" w:rsidP="0033454E">
            <w:pPr>
              <w:jc w:val="center"/>
              <w:rPr>
                <w:rFonts w:cs="Arial"/>
                <w:color w:val="000000" w:themeColor="text1"/>
                <w:sz w:val="18"/>
                <w:szCs w:val="18"/>
              </w:rPr>
            </w:pPr>
            <w:r w:rsidRPr="001E4C6F">
              <w:rPr>
                <w:rFonts w:cs="Arial"/>
                <w:color w:val="000000" w:themeColor="text1"/>
                <w:sz w:val="18"/>
                <w:szCs w:val="18"/>
              </w:rPr>
              <w:t>ND</w:t>
            </w:r>
            <w:r w:rsidRPr="001E4C6F">
              <w:rPr>
                <w:rFonts w:cs="Arial"/>
                <w:color w:val="000000" w:themeColor="text1"/>
                <w:sz w:val="18"/>
                <w:szCs w:val="18"/>
                <w:vertAlign w:val="superscript"/>
              </w:rPr>
              <w:t>3</w:t>
            </w:r>
            <w:r w:rsidRPr="001E4C6F">
              <w:rPr>
                <w:rFonts w:cs="Arial"/>
                <w:color w:val="000000" w:themeColor="text1"/>
                <w:sz w:val="18"/>
                <w:szCs w:val="18"/>
              </w:rPr>
              <w:t xml:space="preserve"> – 3.0</w:t>
            </w:r>
          </w:p>
        </w:tc>
      </w:tr>
    </w:tbl>
    <w:p w14:paraId="717F2B5C" w14:textId="77777777" w:rsidR="0033454E" w:rsidRPr="005E74A2" w:rsidRDefault="0033454E" w:rsidP="0033454E">
      <w:pPr>
        <w:autoSpaceDE w:val="0"/>
        <w:autoSpaceDN w:val="0"/>
        <w:adjustRightInd w:val="0"/>
        <w:rPr>
          <w:color w:val="000000" w:themeColor="text1"/>
          <w:sz w:val="18"/>
          <w:szCs w:val="18"/>
        </w:rPr>
      </w:pPr>
      <w:r w:rsidRPr="005E74A2">
        <w:rPr>
          <w:color w:val="000000" w:themeColor="text1"/>
          <w:sz w:val="18"/>
          <w:szCs w:val="18"/>
          <w:vertAlign w:val="superscript"/>
        </w:rPr>
        <w:t>1</w:t>
      </w:r>
      <w:r w:rsidRPr="005E74A2">
        <w:rPr>
          <w:color w:val="000000" w:themeColor="text1"/>
          <w:sz w:val="18"/>
          <w:szCs w:val="18"/>
        </w:rPr>
        <w:t xml:space="preserve"> p-values indicating significant differences are bolded and underlined.</w:t>
      </w:r>
    </w:p>
    <w:p w14:paraId="36AF5718" w14:textId="77777777" w:rsidR="0033454E" w:rsidRPr="005E74A2" w:rsidRDefault="0033454E" w:rsidP="0033454E">
      <w:pPr>
        <w:autoSpaceDE w:val="0"/>
        <w:autoSpaceDN w:val="0"/>
        <w:adjustRightInd w:val="0"/>
        <w:ind w:left="284" w:hanging="284"/>
        <w:rPr>
          <w:rFonts w:cs="Arial"/>
          <w:color w:val="000000" w:themeColor="text1"/>
          <w:sz w:val="18"/>
          <w:szCs w:val="18"/>
        </w:rPr>
      </w:pPr>
      <w:r w:rsidRPr="005E74A2">
        <w:rPr>
          <w:color w:val="000000" w:themeColor="text1"/>
          <w:sz w:val="18"/>
          <w:szCs w:val="18"/>
          <w:vertAlign w:val="superscript"/>
        </w:rPr>
        <w:t>2</w:t>
      </w:r>
      <w:r w:rsidRPr="005E74A2">
        <w:rPr>
          <w:rFonts w:cs="Arial"/>
          <w:color w:val="000000" w:themeColor="text1"/>
          <w:sz w:val="18"/>
          <w:szCs w:val="18"/>
        </w:rPr>
        <w:t xml:space="preserve"> mauve shading represents MS11 means that are significantly lower than the N90-740 means while orange shading represents MS11 means that are significantly higher.</w:t>
      </w:r>
    </w:p>
    <w:p w14:paraId="7FACF221" w14:textId="741A4513" w:rsidR="00283E37" w:rsidRDefault="0033454E" w:rsidP="0033454E">
      <w:pPr>
        <w:autoSpaceDE w:val="0"/>
        <w:autoSpaceDN w:val="0"/>
        <w:adjustRightInd w:val="0"/>
        <w:ind w:left="284" w:hanging="284"/>
        <w:rPr>
          <w:rFonts w:cs="Arial"/>
          <w:color w:val="000000" w:themeColor="text1"/>
          <w:sz w:val="18"/>
          <w:szCs w:val="18"/>
        </w:rPr>
      </w:pPr>
      <w:r w:rsidRPr="005E74A2">
        <w:rPr>
          <w:rFonts w:cs="Arial"/>
          <w:color w:val="000000" w:themeColor="text1"/>
          <w:sz w:val="18"/>
          <w:szCs w:val="18"/>
          <w:vertAlign w:val="superscript"/>
        </w:rPr>
        <w:t>3.</w:t>
      </w:r>
      <w:r w:rsidRPr="005E74A2">
        <w:rPr>
          <w:rFonts w:cs="Arial"/>
          <w:color w:val="000000" w:themeColor="text1"/>
          <w:sz w:val="18"/>
          <w:szCs w:val="18"/>
        </w:rPr>
        <w:t>ND = not detectable</w:t>
      </w:r>
      <w:r w:rsidR="00283E37">
        <w:rPr>
          <w:rFonts w:cs="Arial"/>
          <w:color w:val="000000" w:themeColor="text1"/>
          <w:sz w:val="18"/>
          <w:szCs w:val="18"/>
        </w:rPr>
        <w:br w:type="page"/>
      </w:r>
    </w:p>
    <w:p w14:paraId="28D1E7F5" w14:textId="6304380E" w:rsidR="0033454E" w:rsidRPr="001B5342" w:rsidRDefault="00283E37" w:rsidP="0033454E">
      <w:pPr>
        <w:pStyle w:val="Heading3"/>
      </w:pPr>
      <w:r>
        <w:lastRenderedPageBreak/>
        <w:t>5.3.3</w:t>
      </w:r>
      <w:r w:rsidR="0033454E" w:rsidRPr="001B5342">
        <w:tab/>
        <w:t>Amino acids</w:t>
      </w:r>
    </w:p>
    <w:p w14:paraId="17BC612C" w14:textId="77777777" w:rsidR="0033454E" w:rsidRPr="00A86018" w:rsidRDefault="0033454E" w:rsidP="0033454E">
      <w:pPr>
        <w:widowControl/>
        <w:autoSpaceDE w:val="0"/>
        <w:autoSpaceDN w:val="0"/>
        <w:adjustRightInd w:val="0"/>
        <w:rPr>
          <w:rFonts w:cs="Arial"/>
          <w:color w:val="000000" w:themeColor="text1"/>
          <w:szCs w:val="22"/>
          <w:lang w:eastAsia="en-GB" w:bidi="ar-SA"/>
        </w:rPr>
      </w:pPr>
      <w:r w:rsidRPr="00A86018">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Results of the analysis are given </w:t>
      </w:r>
      <w:r w:rsidRPr="004F4FDA">
        <w:rPr>
          <w:rFonts w:cs="Arial"/>
          <w:color w:val="000000" w:themeColor="text1"/>
          <w:szCs w:val="22"/>
        </w:rPr>
        <w:t xml:space="preserve">in </w:t>
      </w:r>
      <w:r w:rsidRPr="004F4FDA">
        <w:rPr>
          <w:color w:val="000000" w:themeColor="text1"/>
        </w:rPr>
        <w:t>Table 7</w:t>
      </w:r>
      <w:r w:rsidRPr="004F4FDA">
        <w:rPr>
          <w:rFonts w:cs="Arial"/>
          <w:color w:val="000000" w:themeColor="text1"/>
        </w:rPr>
        <w:t>.</w:t>
      </w:r>
      <w:r w:rsidRPr="00A86018">
        <w:rPr>
          <w:rFonts w:cs="Arial"/>
          <w:color w:val="000000" w:themeColor="text1"/>
        </w:rPr>
        <w:t xml:space="preserve"> </w:t>
      </w:r>
    </w:p>
    <w:p w14:paraId="647D0064" w14:textId="77777777" w:rsidR="0033454E" w:rsidRPr="001506F2" w:rsidRDefault="0033454E" w:rsidP="0033454E">
      <w:pPr>
        <w:widowControl/>
        <w:autoSpaceDE w:val="0"/>
        <w:autoSpaceDN w:val="0"/>
        <w:adjustRightInd w:val="0"/>
        <w:rPr>
          <w:rFonts w:cs="Arial"/>
          <w:color w:val="000000" w:themeColor="text1"/>
          <w:szCs w:val="22"/>
          <w:lang w:eastAsia="en-GB" w:bidi="ar-SA"/>
        </w:rPr>
      </w:pPr>
      <w:r>
        <w:rPr>
          <w:rFonts w:cs="Arial"/>
          <w:color w:val="000000" w:themeColor="text1"/>
          <w:szCs w:val="22"/>
        </w:rPr>
        <w:t>T</w:t>
      </w:r>
      <w:r w:rsidRPr="001506F2">
        <w:rPr>
          <w:rFonts w:cs="Arial"/>
          <w:color w:val="000000" w:themeColor="text1"/>
          <w:szCs w:val="22"/>
        </w:rPr>
        <w:t xml:space="preserve">here was no significant difference between the means for unsprayed MS11 and those for the control for </w:t>
      </w:r>
      <w:r>
        <w:rPr>
          <w:rFonts w:cs="Arial"/>
          <w:color w:val="000000" w:themeColor="text1"/>
          <w:szCs w:val="22"/>
        </w:rPr>
        <w:t>any amino</w:t>
      </w:r>
      <w:r w:rsidRPr="001506F2">
        <w:rPr>
          <w:rFonts w:cs="Arial"/>
          <w:color w:val="000000" w:themeColor="text1"/>
          <w:szCs w:val="22"/>
        </w:rPr>
        <w:t xml:space="preserve"> acid measured. For sprayed MS11, levels of </w:t>
      </w:r>
      <w:r>
        <w:rPr>
          <w:rFonts w:cs="Arial"/>
          <w:color w:val="000000" w:themeColor="text1"/>
          <w:szCs w:val="22"/>
        </w:rPr>
        <w:t xml:space="preserve">alanine, cysteine, lysine, methionine, phenylalanine, proline, serine and tryptophan </w:t>
      </w:r>
      <w:r w:rsidRPr="001506F2">
        <w:rPr>
          <w:rFonts w:cs="Arial"/>
          <w:color w:val="000000" w:themeColor="text1"/>
          <w:szCs w:val="22"/>
        </w:rPr>
        <w:t>were significantly h</w:t>
      </w:r>
      <w:r>
        <w:rPr>
          <w:rFonts w:cs="Arial"/>
          <w:color w:val="000000" w:themeColor="text1"/>
          <w:szCs w:val="22"/>
        </w:rPr>
        <w:t xml:space="preserve">igher than those in the control. </w:t>
      </w:r>
      <w:r w:rsidRPr="001506F2">
        <w:rPr>
          <w:rFonts w:cs="Arial"/>
          <w:color w:val="000000" w:themeColor="text1"/>
          <w:szCs w:val="22"/>
        </w:rPr>
        <w:t xml:space="preserve">However, </w:t>
      </w:r>
      <w:r w:rsidRPr="001506F2">
        <w:rPr>
          <w:rFonts w:cs="Arial"/>
          <w:color w:val="000000" w:themeColor="text1"/>
          <w:szCs w:val="22"/>
          <w:lang w:eastAsia="en-GB" w:bidi="ar-SA"/>
        </w:rPr>
        <w:t xml:space="preserve">the means for all entries, </w:t>
      </w:r>
      <w:r>
        <w:rPr>
          <w:rFonts w:cs="Arial"/>
          <w:color w:val="000000" w:themeColor="text1"/>
          <w:szCs w:val="22"/>
          <w:lang w:eastAsia="en-GB" w:bidi="ar-SA"/>
        </w:rPr>
        <w:t>for all amino</w:t>
      </w:r>
      <w:r w:rsidRPr="001506F2">
        <w:rPr>
          <w:rFonts w:cs="Arial"/>
          <w:color w:val="000000" w:themeColor="text1"/>
          <w:szCs w:val="22"/>
          <w:lang w:eastAsia="en-GB" w:bidi="ar-SA"/>
        </w:rPr>
        <w:t xml:space="preserve"> acids, were within the tolerance interval of the reference varieties. </w:t>
      </w:r>
    </w:p>
    <w:p w14:paraId="2A84DEA3" w14:textId="77777777" w:rsidR="0033454E" w:rsidRPr="00A86018" w:rsidRDefault="0033454E" w:rsidP="0033454E">
      <w:pPr>
        <w:widowControl/>
        <w:autoSpaceDE w:val="0"/>
        <w:autoSpaceDN w:val="0"/>
        <w:adjustRightInd w:val="0"/>
        <w:rPr>
          <w:rFonts w:cs="Arial"/>
          <w:color w:val="000000" w:themeColor="text1"/>
          <w:szCs w:val="22"/>
          <w:lang w:eastAsia="en-GB" w:bidi="ar-SA"/>
        </w:rPr>
      </w:pPr>
    </w:p>
    <w:p w14:paraId="465DD2AE" w14:textId="77777777" w:rsidR="0033454E" w:rsidRPr="00920C8C" w:rsidRDefault="0033454E" w:rsidP="0033454E">
      <w:pPr>
        <w:widowControl/>
        <w:autoSpaceDE w:val="0"/>
        <w:autoSpaceDN w:val="0"/>
        <w:adjustRightInd w:val="0"/>
        <w:rPr>
          <w:rFonts w:cs="Arial"/>
          <w:color w:val="000000" w:themeColor="text1"/>
          <w:szCs w:val="22"/>
          <w:lang w:eastAsia="en-GB" w:bidi="ar-SA"/>
        </w:rPr>
      </w:pPr>
      <w:r>
        <w:rPr>
          <w:rFonts w:cs="Arial"/>
          <w:color w:val="000000" w:themeColor="text1"/>
          <w:szCs w:val="22"/>
          <w:lang w:eastAsia="en-GB" w:bidi="ar-SA"/>
        </w:rPr>
        <w:t>The means for cysteine, phenylalanine and tryptophan</w:t>
      </w:r>
      <w:r w:rsidRPr="001506F2">
        <w:rPr>
          <w:rFonts w:cs="Arial"/>
          <w:color w:val="000000" w:themeColor="text1"/>
          <w:szCs w:val="22"/>
          <w:lang w:eastAsia="en-GB" w:bidi="ar-SA"/>
        </w:rPr>
        <w:t xml:space="preserve"> in both MS11 and N90-740 were higher than</w:t>
      </w:r>
      <w:r>
        <w:rPr>
          <w:rFonts w:cs="Arial"/>
          <w:color w:val="000000" w:themeColor="text1"/>
          <w:szCs w:val="22"/>
          <w:lang w:eastAsia="en-GB" w:bidi="ar-SA"/>
        </w:rPr>
        <w:t xml:space="preserve"> the combined literature range. </w:t>
      </w:r>
      <w:r w:rsidRPr="001506F2">
        <w:rPr>
          <w:rFonts w:cs="Arial"/>
          <w:color w:val="000000" w:themeColor="text1"/>
          <w:szCs w:val="22"/>
          <w:lang w:eastAsia="en-GB" w:bidi="ar-SA"/>
        </w:rPr>
        <w:t>The means for all other analytes for both MS11 and N90-470 were within the literature range.</w:t>
      </w:r>
    </w:p>
    <w:p w14:paraId="18683149" w14:textId="77777777" w:rsidR="0033454E" w:rsidRPr="00A86018" w:rsidRDefault="0033454E" w:rsidP="0033454E">
      <w:pPr>
        <w:rPr>
          <w:color w:val="000000" w:themeColor="text1"/>
        </w:rPr>
      </w:pPr>
    </w:p>
    <w:p w14:paraId="7037695A" w14:textId="77777777" w:rsidR="0033454E" w:rsidRPr="00C63B93" w:rsidRDefault="0033454E" w:rsidP="001E4C6F">
      <w:bookmarkStart w:id="42" w:name="_Toc481574642"/>
      <w:r w:rsidRPr="001E4C6F">
        <w:rPr>
          <w:b/>
        </w:rPr>
        <w:t xml:space="preserve">Table </w:t>
      </w:r>
      <w:r w:rsidRPr="001E4C6F">
        <w:rPr>
          <w:b/>
        </w:rPr>
        <w:fldChar w:fldCharType="begin"/>
      </w:r>
      <w:r w:rsidRPr="001E4C6F">
        <w:rPr>
          <w:b/>
        </w:rPr>
        <w:instrText xml:space="preserve"> SEQ Table \* ARABIC </w:instrText>
      </w:r>
      <w:r w:rsidRPr="001E4C6F">
        <w:rPr>
          <w:b/>
        </w:rPr>
        <w:fldChar w:fldCharType="separate"/>
      </w:r>
      <w:r w:rsidR="007D76F3" w:rsidRPr="001E4C6F">
        <w:rPr>
          <w:b/>
          <w:noProof/>
        </w:rPr>
        <w:t>7</w:t>
      </w:r>
      <w:r w:rsidRPr="001E4C6F">
        <w:rPr>
          <w:b/>
        </w:rPr>
        <w:fldChar w:fldCharType="end"/>
      </w:r>
      <w:r w:rsidRPr="001E4C6F">
        <w:rPr>
          <w:b/>
        </w:rPr>
        <w:t>: Mean ±SD amino acid composition (% dw) in seed from MS11 and the N90-740 control collected from nine locations</w:t>
      </w:r>
      <w:bookmarkEnd w:id="42"/>
    </w:p>
    <w:p w14:paraId="18D18581" w14:textId="77777777" w:rsidR="0033454E" w:rsidRPr="00EA10A8" w:rsidRDefault="0033454E" w:rsidP="0033454E">
      <w:pPr>
        <w:rPr>
          <w:color w:val="000000" w:themeColor="text1"/>
          <w:lang w:val="en-AU" w:bidi="ar-SA"/>
        </w:rPr>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276"/>
        <w:gridCol w:w="1275"/>
        <w:gridCol w:w="1418"/>
        <w:gridCol w:w="850"/>
        <w:gridCol w:w="851"/>
        <w:gridCol w:w="1276"/>
        <w:gridCol w:w="1138"/>
      </w:tblGrid>
      <w:tr w:rsidR="0033454E" w:rsidRPr="00420FFA" w14:paraId="47A50974" w14:textId="77777777" w:rsidTr="00F047B6">
        <w:trPr>
          <w:trHeight w:val="880"/>
          <w:tblHeader/>
          <w:jc w:val="center"/>
        </w:trPr>
        <w:tc>
          <w:tcPr>
            <w:tcW w:w="1178" w:type="dxa"/>
            <w:shd w:val="clear" w:color="auto" w:fill="9BBB59" w:themeFill="accent3"/>
            <w:noWrap/>
            <w:vAlign w:val="center"/>
          </w:tcPr>
          <w:p w14:paraId="38FB573E"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Amino acid         % dw</w:t>
            </w:r>
          </w:p>
        </w:tc>
        <w:tc>
          <w:tcPr>
            <w:tcW w:w="1276" w:type="dxa"/>
            <w:shd w:val="clear" w:color="auto" w:fill="9BBB59" w:themeFill="accent3"/>
            <w:vAlign w:val="center"/>
          </w:tcPr>
          <w:p w14:paraId="1D4EB3E7" w14:textId="77777777" w:rsidR="0033454E" w:rsidRPr="006B3E6D" w:rsidRDefault="0033454E" w:rsidP="0033454E">
            <w:pPr>
              <w:jc w:val="center"/>
              <w:rPr>
                <w:rFonts w:eastAsiaTheme="minorHAnsi" w:cs="Arial"/>
                <w:b/>
                <w:color w:val="FFFFFF" w:themeColor="background1"/>
                <w:sz w:val="18"/>
                <w:szCs w:val="18"/>
              </w:rPr>
            </w:pPr>
            <w:r w:rsidRPr="006B3E6D">
              <w:rPr>
                <w:rFonts w:eastAsiaTheme="minorHAnsi" w:cs="Arial"/>
                <w:b/>
                <w:color w:val="FFFFFF" w:themeColor="background1"/>
                <w:sz w:val="18"/>
                <w:szCs w:val="18"/>
              </w:rPr>
              <w:t xml:space="preserve">N90-740 </w:t>
            </w:r>
          </w:p>
          <w:p w14:paraId="6F58583E" w14:textId="77777777" w:rsidR="0033454E" w:rsidRPr="006B3E6D" w:rsidRDefault="0033454E" w:rsidP="0033454E">
            <w:pPr>
              <w:jc w:val="center"/>
              <w:rPr>
                <w:rFonts w:cs="Arial"/>
                <w:b/>
                <w:bCs/>
                <w:color w:val="FFFFFF" w:themeColor="background1"/>
                <w:sz w:val="18"/>
                <w:szCs w:val="18"/>
              </w:rPr>
            </w:pPr>
            <w:r w:rsidRPr="006B3E6D">
              <w:rPr>
                <w:rFonts w:eastAsiaTheme="minorHAnsi" w:cs="Arial"/>
                <w:b/>
                <w:color w:val="FFFFFF" w:themeColor="background1"/>
                <w:sz w:val="18"/>
                <w:szCs w:val="18"/>
              </w:rPr>
              <w:t>(A)</w:t>
            </w:r>
          </w:p>
        </w:tc>
        <w:tc>
          <w:tcPr>
            <w:tcW w:w="1275" w:type="dxa"/>
            <w:shd w:val="clear" w:color="auto" w:fill="9BBB59" w:themeFill="accent3"/>
            <w:vAlign w:val="center"/>
          </w:tcPr>
          <w:p w14:paraId="2B3E2CA0" w14:textId="77777777" w:rsidR="0033454E" w:rsidRPr="006B3E6D" w:rsidRDefault="0033454E" w:rsidP="0033454E">
            <w:pPr>
              <w:jc w:val="center"/>
              <w:rPr>
                <w:rFonts w:eastAsiaTheme="minorHAnsi" w:cs="Arial"/>
                <w:b/>
                <w:color w:val="FFFFFF" w:themeColor="background1"/>
                <w:sz w:val="18"/>
                <w:szCs w:val="18"/>
              </w:rPr>
            </w:pPr>
            <w:r w:rsidRPr="006B3E6D">
              <w:rPr>
                <w:rFonts w:eastAsiaTheme="minorHAnsi" w:cs="Arial"/>
                <w:b/>
                <w:color w:val="FFFFFF" w:themeColor="background1"/>
                <w:sz w:val="18"/>
                <w:szCs w:val="18"/>
              </w:rPr>
              <w:t>MS11 unsprayed (B)</w:t>
            </w:r>
          </w:p>
        </w:tc>
        <w:tc>
          <w:tcPr>
            <w:tcW w:w="1418" w:type="dxa"/>
            <w:shd w:val="clear" w:color="auto" w:fill="9BBB59" w:themeFill="accent3"/>
            <w:vAlign w:val="center"/>
          </w:tcPr>
          <w:p w14:paraId="0B42B166"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 xml:space="preserve">MS11 sprayed </w:t>
            </w:r>
          </w:p>
          <w:p w14:paraId="189C3D2C"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(C)</w:t>
            </w:r>
          </w:p>
        </w:tc>
        <w:tc>
          <w:tcPr>
            <w:tcW w:w="850" w:type="dxa"/>
            <w:shd w:val="clear" w:color="auto" w:fill="9BBB59" w:themeFill="accent3"/>
            <w:vAlign w:val="center"/>
          </w:tcPr>
          <w:p w14:paraId="3CE36D6B"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p-value</w:t>
            </w:r>
          </w:p>
          <w:p w14:paraId="7BE970B1" w14:textId="77777777" w:rsidR="0033454E" w:rsidRPr="006B3E6D" w:rsidRDefault="0033454E" w:rsidP="0033454E">
            <w:pPr>
              <w:jc w:val="center"/>
              <w:rPr>
                <w:rFonts w:cs="Arial"/>
                <w:b/>
                <w:bCs/>
                <w:color w:val="FFFFFF" w:themeColor="background1"/>
                <w:sz w:val="18"/>
                <w:szCs w:val="18"/>
                <w:vertAlign w:val="superscript"/>
              </w:rPr>
            </w:pPr>
            <w:r w:rsidRPr="006B3E6D">
              <w:rPr>
                <w:rFonts w:cs="Arial"/>
                <w:b/>
                <w:bCs/>
                <w:color w:val="FFFFFF" w:themeColor="background1"/>
                <w:sz w:val="18"/>
                <w:szCs w:val="18"/>
              </w:rPr>
              <w:t xml:space="preserve"> A vs B</w:t>
            </w:r>
          </w:p>
        </w:tc>
        <w:tc>
          <w:tcPr>
            <w:tcW w:w="851" w:type="dxa"/>
            <w:shd w:val="clear" w:color="auto" w:fill="9BBB59" w:themeFill="accent3"/>
            <w:vAlign w:val="center"/>
          </w:tcPr>
          <w:p w14:paraId="459539CD" w14:textId="77777777" w:rsidR="0033454E" w:rsidRPr="006B3E6D" w:rsidRDefault="0033454E" w:rsidP="0033454E">
            <w:pPr>
              <w:jc w:val="center"/>
              <w:rPr>
                <w:rFonts w:cs="Arial"/>
                <w:b/>
                <w:bCs/>
                <w:color w:val="FFFFFF" w:themeColor="background1"/>
                <w:sz w:val="18"/>
                <w:szCs w:val="18"/>
                <w:vertAlign w:val="superscript"/>
              </w:rPr>
            </w:pPr>
            <w:r w:rsidRPr="006B3E6D">
              <w:rPr>
                <w:rFonts w:cs="Arial"/>
                <w:b/>
                <w:bCs/>
                <w:color w:val="FFFFFF" w:themeColor="background1"/>
                <w:sz w:val="18"/>
                <w:szCs w:val="18"/>
              </w:rPr>
              <w:t>p-value</w:t>
            </w:r>
            <w:r w:rsidRPr="006B3E6D">
              <w:rPr>
                <w:rFonts w:cs="Arial"/>
                <w:b/>
                <w:bCs/>
                <w:color w:val="FFFFFF" w:themeColor="background1"/>
                <w:sz w:val="18"/>
                <w:szCs w:val="18"/>
                <w:vertAlign w:val="superscript"/>
              </w:rPr>
              <w:t>1</w:t>
            </w:r>
          </w:p>
          <w:p w14:paraId="08D73EEC"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A vs C</w:t>
            </w:r>
          </w:p>
        </w:tc>
        <w:tc>
          <w:tcPr>
            <w:tcW w:w="1276" w:type="dxa"/>
            <w:shd w:val="clear" w:color="auto" w:fill="9BBB59" w:themeFill="accent3"/>
            <w:vAlign w:val="center"/>
          </w:tcPr>
          <w:p w14:paraId="4495A838"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95% Tolerance interval</w:t>
            </w:r>
          </w:p>
        </w:tc>
        <w:tc>
          <w:tcPr>
            <w:tcW w:w="1138" w:type="dxa"/>
            <w:shd w:val="clear" w:color="auto" w:fill="9BBB59" w:themeFill="accent3"/>
            <w:vAlign w:val="center"/>
          </w:tcPr>
          <w:p w14:paraId="3C6346EF" w14:textId="77777777" w:rsidR="0033454E" w:rsidRPr="006B3E6D" w:rsidRDefault="0033454E" w:rsidP="0033454E">
            <w:pPr>
              <w:jc w:val="center"/>
              <w:rPr>
                <w:rFonts w:cs="Arial"/>
                <w:b/>
                <w:bCs/>
                <w:color w:val="FFFFFF" w:themeColor="background1"/>
                <w:sz w:val="18"/>
                <w:szCs w:val="18"/>
              </w:rPr>
            </w:pPr>
            <w:r w:rsidRPr="006B3E6D">
              <w:rPr>
                <w:rFonts w:cs="Arial"/>
                <w:b/>
                <w:bCs/>
                <w:color w:val="FFFFFF" w:themeColor="background1"/>
                <w:sz w:val="18"/>
                <w:szCs w:val="18"/>
              </w:rPr>
              <w:t>Combined literature</w:t>
            </w:r>
            <w:r w:rsidRPr="006B3E6D">
              <w:rPr>
                <w:rFonts w:cs="Arial"/>
                <w:b/>
                <w:bCs/>
                <w:color w:val="FFFFFF" w:themeColor="background1"/>
                <w:sz w:val="18"/>
                <w:szCs w:val="18"/>
              </w:rPr>
              <w:br/>
              <w:t xml:space="preserve">range </w:t>
            </w:r>
          </w:p>
        </w:tc>
      </w:tr>
      <w:tr w:rsidR="0033454E" w:rsidRPr="00420FFA" w14:paraId="29E60B0C" w14:textId="77777777" w:rsidTr="00F047B6">
        <w:trPr>
          <w:trHeight w:val="510"/>
          <w:jc w:val="center"/>
        </w:trPr>
        <w:tc>
          <w:tcPr>
            <w:tcW w:w="1178" w:type="dxa"/>
            <w:shd w:val="clear" w:color="auto" w:fill="FFFFFF" w:themeFill="background1"/>
            <w:noWrap/>
            <w:vAlign w:val="center"/>
          </w:tcPr>
          <w:p w14:paraId="21687DA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Alanine</w:t>
            </w:r>
          </w:p>
        </w:tc>
        <w:tc>
          <w:tcPr>
            <w:tcW w:w="1276" w:type="dxa"/>
            <w:shd w:val="clear" w:color="auto" w:fill="FFFFFF" w:themeFill="background1"/>
            <w:vAlign w:val="center"/>
          </w:tcPr>
          <w:p w14:paraId="40AA748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1.27±0.10</w:t>
            </w:r>
          </w:p>
        </w:tc>
        <w:tc>
          <w:tcPr>
            <w:tcW w:w="1275" w:type="dxa"/>
            <w:shd w:val="clear" w:color="auto" w:fill="FFFFFF" w:themeFill="background1"/>
            <w:vAlign w:val="center"/>
          </w:tcPr>
          <w:p w14:paraId="6645EDC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1.28±0.09</w:t>
            </w:r>
          </w:p>
        </w:tc>
        <w:tc>
          <w:tcPr>
            <w:tcW w:w="1418" w:type="dxa"/>
            <w:shd w:val="clear" w:color="auto" w:fill="FDE9D9" w:themeFill="accent6" w:themeFillTint="33"/>
            <w:vAlign w:val="center"/>
          </w:tcPr>
          <w:p w14:paraId="23BF0F95"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1.32±0.06</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73C59461"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0.984</w:t>
            </w:r>
          </w:p>
        </w:tc>
        <w:tc>
          <w:tcPr>
            <w:tcW w:w="851" w:type="dxa"/>
            <w:shd w:val="clear" w:color="auto" w:fill="FFFFFF" w:themeFill="background1"/>
            <w:vAlign w:val="center"/>
          </w:tcPr>
          <w:p w14:paraId="7DDA317D"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0.005</w:t>
            </w:r>
          </w:p>
        </w:tc>
        <w:tc>
          <w:tcPr>
            <w:tcW w:w="1276" w:type="dxa"/>
            <w:shd w:val="clear" w:color="auto" w:fill="FFFFFF" w:themeFill="background1"/>
            <w:vAlign w:val="center"/>
          </w:tcPr>
          <w:p w14:paraId="36A989F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0.96, 1.53</w:t>
            </w:r>
          </w:p>
        </w:tc>
        <w:tc>
          <w:tcPr>
            <w:tcW w:w="1138" w:type="dxa"/>
            <w:shd w:val="clear" w:color="auto" w:fill="FFFFFF" w:themeFill="background1"/>
            <w:noWrap/>
            <w:vAlign w:val="center"/>
          </w:tcPr>
          <w:p w14:paraId="211E7E7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0.71 – 1.38</w:t>
            </w:r>
          </w:p>
        </w:tc>
      </w:tr>
      <w:tr w:rsidR="0033454E" w:rsidRPr="00420FFA" w14:paraId="1C86F9C3" w14:textId="77777777" w:rsidTr="00F047B6">
        <w:trPr>
          <w:trHeight w:val="510"/>
          <w:jc w:val="center"/>
        </w:trPr>
        <w:tc>
          <w:tcPr>
            <w:tcW w:w="1178" w:type="dxa"/>
            <w:shd w:val="clear" w:color="auto" w:fill="EAF1DD" w:themeFill="accent3" w:themeFillTint="33"/>
            <w:noWrap/>
            <w:vAlign w:val="center"/>
          </w:tcPr>
          <w:p w14:paraId="79429C3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Arginine</w:t>
            </w:r>
          </w:p>
        </w:tc>
        <w:tc>
          <w:tcPr>
            <w:tcW w:w="1276" w:type="dxa"/>
            <w:shd w:val="clear" w:color="auto" w:fill="EAF1DD" w:themeFill="accent3" w:themeFillTint="33"/>
            <w:vAlign w:val="center"/>
          </w:tcPr>
          <w:p w14:paraId="0B6F76B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1.96±0.17</w:t>
            </w:r>
          </w:p>
        </w:tc>
        <w:tc>
          <w:tcPr>
            <w:tcW w:w="1275" w:type="dxa"/>
            <w:shd w:val="clear" w:color="auto" w:fill="EAF1DD" w:themeFill="accent3" w:themeFillTint="33"/>
            <w:vAlign w:val="center"/>
          </w:tcPr>
          <w:p w14:paraId="4E2A460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1.98±0.17</w:t>
            </w:r>
          </w:p>
        </w:tc>
        <w:tc>
          <w:tcPr>
            <w:tcW w:w="1418" w:type="dxa"/>
            <w:shd w:val="clear" w:color="auto" w:fill="EAF1DD" w:themeFill="accent3" w:themeFillTint="33"/>
            <w:vAlign w:val="center"/>
          </w:tcPr>
          <w:p w14:paraId="46CDB544"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2.01±0.11</w:t>
            </w:r>
          </w:p>
        </w:tc>
        <w:tc>
          <w:tcPr>
            <w:tcW w:w="850" w:type="dxa"/>
            <w:shd w:val="clear" w:color="auto" w:fill="EAF1DD" w:themeFill="accent3" w:themeFillTint="33"/>
            <w:vAlign w:val="center"/>
          </w:tcPr>
          <w:p w14:paraId="5CAFBE0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0.745</w:t>
            </w:r>
          </w:p>
        </w:tc>
        <w:tc>
          <w:tcPr>
            <w:tcW w:w="851" w:type="dxa"/>
            <w:shd w:val="clear" w:color="auto" w:fill="EAF1DD" w:themeFill="accent3" w:themeFillTint="33"/>
            <w:vAlign w:val="center"/>
          </w:tcPr>
          <w:p w14:paraId="5D1AFC7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0.064</w:t>
            </w:r>
          </w:p>
        </w:tc>
        <w:tc>
          <w:tcPr>
            <w:tcW w:w="1276" w:type="dxa"/>
            <w:shd w:val="clear" w:color="auto" w:fill="EAF1DD" w:themeFill="accent3" w:themeFillTint="33"/>
            <w:vAlign w:val="center"/>
          </w:tcPr>
          <w:p w14:paraId="6F5387B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1.38, 2.43</w:t>
            </w:r>
          </w:p>
        </w:tc>
        <w:tc>
          <w:tcPr>
            <w:tcW w:w="1138" w:type="dxa"/>
            <w:shd w:val="clear" w:color="auto" w:fill="EAF1DD" w:themeFill="accent3" w:themeFillTint="33"/>
            <w:noWrap/>
            <w:vAlign w:val="center"/>
          </w:tcPr>
          <w:p w14:paraId="728968D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0.93 – 2.46</w:t>
            </w:r>
          </w:p>
        </w:tc>
      </w:tr>
      <w:tr w:rsidR="0033454E" w:rsidRPr="00420FFA" w14:paraId="66DA1108" w14:textId="77777777" w:rsidTr="00F047B6">
        <w:trPr>
          <w:trHeight w:val="510"/>
          <w:jc w:val="center"/>
        </w:trPr>
        <w:tc>
          <w:tcPr>
            <w:tcW w:w="1178" w:type="dxa"/>
            <w:shd w:val="clear" w:color="auto" w:fill="FFFFFF" w:themeFill="background1"/>
            <w:noWrap/>
            <w:vAlign w:val="center"/>
          </w:tcPr>
          <w:p w14:paraId="01286D9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Aspartate</w:t>
            </w:r>
          </w:p>
        </w:tc>
        <w:tc>
          <w:tcPr>
            <w:tcW w:w="1276" w:type="dxa"/>
            <w:shd w:val="clear" w:color="auto" w:fill="FFFFFF" w:themeFill="background1"/>
            <w:vAlign w:val="center"/>
          </w:tcPr>
          <w:p w14:paraId="07019CE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2.25±0.23</w:t>
            </w:r>
          </w:p>
        </w:tc>
        <w:tc>
          <w:tcPr>
            <w:tcW w:w="1275" w:type="dxa"/>
            <w:shd w:val="clear" w:color="auto" w:fill="FFFFFF" w:themeFill="background1"/>
            <w:vAlign w:val="center"/>
          </w:tcPr>
          <w:p w14:paraId="63EC988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2.25±0.22</w:t>
            </w:r>
          </w:p>
        </w:tc>
        <w:tc>
          <w:tcPr>
            <w:tcW w:w="1418" w:type="dxa"/>
            <w:shd w:val="clear" w:color="auto" w:fill="auto"/>
            <w:vAlign w:val="center"/>
          </w:tcPr>
          <w:p w14:paraId="06A4D6F1"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2.29±0.15</w:t>
            </w:r>
          </w:p>
        </w:tc>
        <w:tc>
          <w:tcPr>
            <w:tcW w:w="850" w:type="dxa"/>
            <w:shd w:val="clear" w:color="auto" w:fill="FFFFFF" w:themeFill="background1"/>
            <w:vAlign w:val="center"/>
          </w:tcPr>
          <w:p w14:paraId="7CD68D8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0.822</w:t>
            </w:r>
          </w:p>
        </w:tc>
        <w:tc>
          <w:tcPr>
            <w:tcW w:w="851" w:type="dxa"/>
            <w:shd w:val="clear" w:color="auto" w:fill="FFFFFF" w:themeFill="background1"/>
            <w:vAlign w:val="center"/>
          </w:tcPr>
          <w:p w14:paraId="4E0053C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0.227</w:t>
            </w:r>
          </w:p>
        </w:tc>
        <w:tc>
          <w:tcPr>
            <w:tcW w:w="1276" w:type="dxa"/>
            <w:shd w:val="clear" w:color="auto" w:fill="FFFFFF" w:themeFill="background1"/>
            <w:vAlign w:val="center"/>
          </w:tcPr>
          <w:p w14:paraId="7D9BBE8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1.46, 2.67</w:t>
            </w:r>
          </w:p>
        </w:tc>
        <w:tc>
          <w:tcPr>
            <w:tcW w:w="1138" w:type="dxa"/>
            <w:shd w:val="clear" w:color="auto" w:fill="FFFFFF" w:themeFill="background1"/>
            <w:noWrap/>
            <w:vAlign w:val="center"/>
          </w:tcPr>
          <w:p w14:paraId="5AEA3AA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1.20 – 2.03</w:t>
            </w:r>
          </w:p>
        </w:tc>
      </w:tr>
      <w:tr w:rsidR="0033454E" w:rsidRPr="00420FFA" w14:paraId="185E4820" w14:textId="77777777" w:rsidTr="00F047B6">
        <w:trPr>
          <w:trHeight w:val="510"/>
          <w:jc w:val="center"/>
        </w:trPr>
        <w:tc>
          <w:tcPr>
            <w:tcW w:w="1178" w:type="dxa"/>
            <w:shd w:val="clear" w:color="auto" w:fill="EAF1DD" w:themeFill="accent3" w:themeFillTint="33"/>
            <w:noWrap/>
            <w:vAlign w:val="center"/>
          </w:tcPr>
          <w:p w14:paraId="56CC485B"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Cysteine</w:t>
            </w:r>
          </w:p>
        </w:tc>
        <w:tc>
          <w:tcPr>
            <w:tcW w:w="1276" w:type="dxa"/>
            <w:shd w:val="clear" w:color="auto" w:fill="EAF1DD" w:themeFill="accent3" w:themeFillTint="33"/>
            <w:vAlign w:val="center"/>
          </w:tcPr>
          <w:p w14:paraId="7600AC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0.627±0.064</w:t>
            </w:r>
          </w:p>
        </w:tc>
        <w:tc>
          <w:tcPr>
            <w:tcW w:w="1275" w:type="dxa"/>
            <w:shd w:val="clear" w:color="auto" w:fill="EAF1DD" w:themeFill="accent3" w:themeFillTint="33"/>
            <w:vAlign w:val="center"/>
          </w:tcPr>
          <w:p w14:paraId="12F38F8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0.639±0.059</w:t>
            </w:r>
          </w:p>
        </w:tc>
        <w:tc>
          <w:tcPr>
            <w:tcW w:w="1418" w:type="dxa"/>
            <w:shd w:val="clear" w:color="auto" w:fill="FDE9D9" w:themeFill="accent6" w:themeFillTint="33"/>
            <w:vAlign w:val="center"/>
          </w:tcPr>
          <w:p w14:paraId="24D5ABDF"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0.644±0.056</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342F599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0.428</w:t>
            </w:r>
          </w:p>
        </w:tc>
        <w:tc>
          <w:tcPr>
            <w:tcW w:w="851" w:type="dxa"/>
            <w:shd w:val="clear" w:color="auto" w:fill="EAF1DD" w:themeFill="accent3" w:themeFillTint="33"/>
            <w:vAlign w:val="center"/>
          </w:tcPr>
          <w:p w14:paraId="178CA596"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0.039</w:t>
            </w:r>
          </w:p>
        </w:tc>
        <w:tc>
          <w:tcPr>
            <w:tcW w:w="1276" w:type="dxa"/>
            <w:shd w:val="clear" w:color="auto" w:fill="EAF1DD" w:themeFill="accent3" w:themeFillTint="33"/>
            <w:vAlign w:val="center"/>
          </w:tcPr>
          <w:p w14:paraId="09B93A0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0.474, 0.910</w:t>
            </w:r>
          </w:p>
        </w:tc>
        <w:tc>
          <w:tcPr>
            <w:tcW w:w="1138" w:type="dxa"/>
            <w:shd w:val="clear" w:color="auto" w:fill="EAF1DD" w:themeFill="accent3" w:themeFillTint="33"/>
            <w:noWrap/>
            <w:vAlign w:val="center"/>
          </w:tcPr>
          <w:p w14:paraId="21F3931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0.32 – 0.52</w:t>
            </w:r>
          </w:p>
        </w:tc>
      </w:tr>
      <w:tr w:rsidR="0033454E" w:rsidRPr="00420FFA" w14:paraId="2E823B01" w14:textId="77777777" w:rsidTr="00F047B6">
        <w:trPr>
          <w:trHeight w:val="510"/>
          <w:jc w:val="center"/>
        </w:trPr>
        <w:tc>
          <w:tcPr>
            <w:tcW w:w="1178" w:type="dxa"/>
            <w:shd w:val="clear" w:color="auto" w:fill="FFFFFF" w:themeFill="background1"/>
            <w:noWrap/>
            <w:vAlign w:val="center"/>
          </w:tcPr>
          <w:p w14:paraId="7401AFA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Glutamate</w:t>
            </w:r>
          </w:p>
        </w:tc>
        <w:tc>
          <w:tcPr>
            <w:tcW w:w="1276" w:type="dxa"/>
            <w:shd w:val="clear" w:color="auto" w:fill="FFFFFF" w:themeFill="background1"/>
            <w:vAlign w:val="center"/>
          </w:tcPr>
          <w:p w14:paraId="7FBC135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4.91±0.46</w:t>
            </w:r>
          </w:p>
        </w:tc>
        <w:tc>
          <w:tcPr>
            <w:tcW w:w="1275" w:type="dxa"/>
            <w:shd w:val="clear" w:color="auto" w:fill="FFFFFF" w:themeFill="background1"/>
            <w:vAlign w:val="center"/>
          </w:tcPr>
          <w:p w14:paraId="6D4019D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4.99±0.41</w:t>
            </w:r>
          </w:p>
        </w:tc>
        <w:tc>
          <w:tcPr>
            <w:tcW w:w="1418" w:type="dxa"/>
            <w:shd w:val="clear" w:color="auto" w:fill="auto"/>
            <w:vAlign w:val="center"/>
          </w:tcPr>
          <w:p w14:paraId="4F2B864C"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5.03±0.30</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53CBF8E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0.567</w:t>
            </w:r>
          </w:p>
        </w:tc>
        <w:tc>
          <w:tcPr>
            <w:tcW w:w="851" w:type="dxa"/>
            <w:shd w:val="clear" w:color="auto" w:fill="FFFFFF" w:themeFill="background1"/>
            <w:vAlign w:val="center"/>
          </w:tcPr>
          <w:p w14:paraId="5319D52B"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0.057</w:t>
            </w:r>
          </w:p>
        </w:tc>
        <w:tc>
          <w:tcPr>
            <w:tcW w:w="1276" w:type="dxa"/>
            <w:shd w:val="clear" w:color="auto" w:fill="FFFFFF" w:themeFill="background1"/>
            <w:vAlign w:val="center"/>
          </w:tcPr>
          <w:p w14:paraId="2113C57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3.57 – 6.28</w:t>
            </w:r>
          </w:p>
        </w:tc>
        <w:tc>
          <w:tcPr>
            <w:tcW w:w="1138" w:type="dxa"/>
            <w:shd w:val="clear" w:color="auto" w:fill="FFFFFF" w:themeFill="background1"/>
            <w:noWrap/>
            <w:vAlign w:val="center"/>
          </w:tcPr>
          <w:p w14:paraId="0E8C115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3.23 – 4.71</w:t>
            </w:r>
          </w:p>
        </w:tc>
      </w:tr>
      <w:tr w:rsidR="0033454E" w:rsidRPr="00420FFA" w14:paraId="1977BA60" w14:textId="77777777" w:rsidTr="00F047B6">
        <w:trPr>
          <w:trHeight w:val="510"/>
          <w:jc w:val="center"/>
        </w:trPr>
        <w:tc>
          <w:tcPr>
            <w:tcW w:w="1178" w:type="dxa"/>
            <w:shd w:val="clear" w:color="auto" w:fill="EAF1DD" w:themeFill="accent3" w:themeFillTint="33"/>
            <w:noWrap/>
            <w:vAlign w:val="center"/>
          </w:tcPr>
          <w:p w14:paraId="551E6DA1"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Glycine</w:t>
            </w:r>
          </w:p>
        </w:tc>
        <w:tc>
          <w:tcPr>
            <w:tcW w:w="1276" w:type="dxa"/>
            <w:shd w:val="clear" w:color="auto" w:fill="EAF1DD" w:themeFill="accent3" w:themeFillTint="33"/>
            <w:vAlign w:val="center"/>
          </w:tcPr>
          <w:p w14:paraId="0B60924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1.43±0.12</w:t>
            </w:r>
          </w:p>
        </w:tc>
        <w:tc>
          <w:tcPr>
            <w:tcW w:w="1275" w:type="dxa"/>
            <w:shd w:val="clear" w:color="auto" w:fill="EAF1DD" w:themeFill="accent3" w:themeFillTint="33"/>
            <w:vAlign w:val="center"/>
          </w:tcPr>
          <w:p w14:paraId="12D8910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1.44±0.10</w:t>
            </w:r>
          </w:p>
        </w:tc>
        <w:tc>
          <w:tcPr>
            <w:tcW w:w="1418" w:type="dxa"/>
            <w:shd w:val="clear" w:color="auto" w:fill="EAF1DD" w:themeFill="accent3" w:themeFillTint="33"/>
            <w:vAlign w:val="center"/>
          </w:tcPr>
          <w:p w14:paraId="193F735C"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1.45±0.08</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32395967"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0.774</w:t>
            </w:r>
          </w:p>
        </w:tc>
        <w:tc>
          <w:tcPr>
            <w:tcW w:w="851" w:type="dxa"/>
            <w:shd w:val="clear" w:color="auto" w:fill="EAF1DD" w:themeFill="accent3" w:themeFillTint="33"/>
            <w:vAlign w:val="center"/>
          </w:tcPr>
          <w:p w14:paraId="5D279B1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0.115</w:t>
            </w:r>
          </w:p>
        </w:tc>
        <w:tc>
          <w:tcPr>
            <w:tcW w:w="1276" w:type="dxa"/>
            <w:shd w:val="clear" w:color="auto" w:fill="EAF1DD" w:themeFill="accent3" w:themeFillTint="33"/>
            <w:vAlign w:val="center"/>
          </w:tcPr>
          <w:p w14:paraId="5376611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1.06, 1.75</w:t>
            </w:r>
          </w:p>
        </w:tc>
        <w:tc>
          <w:tcPr>
            <w:tcW w:w="1138" w:type="dxa"/>
            <w:shd w:val="clear" w:color="auto" w:fill="EAF1DD" w:themeFill="accent3" w:themeFillTint="33"/>
            <w:noWrap/>
            <w:vAlign w:val="center"/>
          </w:tcPr>
          <w:p w14:paraId="7F77294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0.82 – 2.22</w:t>
            </w:r>
          </w:p>
        </w:tc>
      </w:tr>
      <w:tr w:rsidR="0033454E" w:rsidRPr="00420FFA" w14:paraId="4EDADE5A" w14:textId="77777777" w:rsidTr="00F047B6">
        <w:trPr>
          <w:trHeight w:val="510"/>
          <w:jc w:val="center"/>
        </w:trPr>
        <w:tc>
          <w:tcPr>
            <w:tcW w:w="1178" w:type="dxa"/>
            <w:shd w:val="clear" w:color="auto" w:fill="FFFFFF" w:themeFill="background1"/>
            <w:noWrap/>
            <w:vAlign w:val="center"/>
          </w:tcPr>
          <w:p w14:paraId="2135BB1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Histidine</w:t>
            </w:r>
          </w:p>
        </w:tc>
        <w:tc>
          <w:tcPr>
            <w:tcW w:w="1276" w:type="dxa"/>
            <w:shd w:val="clear" w:color="auto" w:fill="FFFFFF" w:themeFill="background1"/>
            <w:vAlign w:val="center"/>
          </w:tcPr>
          <w:p w14:paraId="2556F60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0.697±0.058</w:t>
            </w:r>
          </w:p>
        </w:tc>
        <w:tc>
          <w:tcPr>
            <w:tcW w:w="1275" w:type="dxa"/>
            <w:shd w:val="clear" w:color="auto" w:fill="FFFFFF" w:themeFill="background1"/>
            <w:vAlign w:val="center"/>
          </w:tcPr>
          <w:p w14:paraId="1429963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0.721±0.064</w:t>
            </w:r>
          </w:p>
        </w:tc>
        <w:tc>
          <w:tcPr>
            <w:tcW w:w="1418" w:type="dxa"/>
            <w:shd w:val="clear" w:color="auto" w:fill="FFFFFF" w:themeFill="background1"/>
            <w:vAlign w:val="center"/>
          </w:tcPr>
          <w:p w14:paraId="1A74280D"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0.720±0.048</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7531486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0.237</w:t>
            </w:r>
          </w:p>
        </w:tc>
        <w:tc>
          <w:tcPr>
            <w:tcW w:w="851" w:type="dxa"/>
            <w:shd w:val="clear" w:color="auto" w:fill="FFFFFF" w:themeFill="background1"/>
            <w:vAlign w:val="center"/>
          </w:tcPr>
          <w:p w14:paraId="7EB43EE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0.061</w:t>
            </w:r>
          </w:p>
        </w:tc>
        <w:tc>
          <w:tcPr>
            <w:tcW w:w="1276" w:type="dxa"/>
            <w:shd w:val="clear" w:color="auto" w:fill="FFFFFF" w:themeFill="background1"/>
            <w:vAlign w:val="center"/>
          </w:tcPr>
          <w:p w14:paraId="63DF3FA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0.522, 0.910</w:t>
            </w:r>
          </w:p>
        </w:tc>
        <w:tc>
          <w:tcPr>
            <w:tcW w:w="1138" w:type="dxa"/>
            <w:shd w:val="clear" w:color="auto" w:fill="FFFFFF" w:themeFill="background1"/>
            <w:noWrap/>
            <w:vAlign w:val="center"/>
          </w:tcPr>
          <w:p w14:paraId="0699A1A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0.41 – 0.82</w:t>
            </w:r>
          </w:p>
        </w:tc>
      </w:tr>
      <w:tr w:rsidR="0033454E" w:rsidRPr="00420FFA" w14:paraId="0A9AB56D" w14:textId="77777777" w:rsidTr="00F047B6">
        <w:trPr>
          <w:trHeight w:val="510"/>
          <w:jc w:val="center"/>
        </w:trPr>
        <w:tc>
          <w:tcPr>
            <w:tcW w:w="1178" w:type="dxa"/>
            <w:shd w:val="clear" w:color="auto" w:fill="EAF1DD" w:themeFill="accent3" w:themeFillTint="33"/>
            <w:noWrap/>
            <w:vAlign w:val="center"/>
          </w:tcPr>
          <w:p w14:paraId="3D91115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Isoleucine</w:t>
            </w:r>
          </w:p>
        </w:tc>
        <w:tc>
          <w:tcPr>
            <w:tcW w:w="1276" w:type="dxa"/>
            <w:shd w:val="clear" w:color="auto" w:fill="EAF1DD" w:themeFill="accent3" w:themeFillTint="33"/>
            <w:vAlign w:val="center"/>
          </w:tcPr>
          <w:p w14:paraId="0154017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1.19±0.10</w:t>
            </w:r>
          </w:p>
        </w:tc>
        <w:tc>
          <w:tcPr>
            <w:tcW w:w="1275" w:type="dxa"/>
            <w:shd w:val="clear" w:color="auto" w:fill="EAF1DD" w:themeFill="accent3" w:themeFillTint="33"/>
            <w:vAlign w:val="center"/>
          </w:tcPr>
          <w:p w14:paraId="0EC9F70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1.20±0.09</w:t>
            </w:r>
          </w:p>
        </w:tc>
        <w:tc>
          <w:tcPr>
            <w:tcW w:w="1418" w:type="dxa"/>
            <w:shd w:val="clear" w:color="auto" w:fill="EAF1DD" w:themeFill="accent3" w:themeFillTint="33"/>
            <w:vAlign w:val="center"/>
          </w:tcPr>
          <w:p w14:paraId="75174AA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1.21±0.06</w:t>
            </w:r>
          </w:p>
        </w:tc>
        <w:tc>
          <w:tcPr>
            <w:tcW w:w="850" w:type="dxa"/>
            <w:shd w:val="clear" w:color="auto" w:fill="EAF1DD" w:themeFill="accent3" w:themeFillTint="33"/>
            <w:vAlign w:val="center"/>
          </w:tcPr>
          <w:p w14:paraId="199785A1"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0.729</w:t>
            </w:r>
          </w:p>
        </w:tc>
        <w:tc>
          <w:tcPr>
            <w:tcW w:w="851" w:type="dxa"/>
            <w:shd w:val="clear" w:color="auto" w:fill="EAF1DD" w:themeFill="accent3" w:themeFillTint="33"/>
            <w:vAlign w:val="center"/>
          </w:tcPr>
          <w:p w14:paraId="64EE3FF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0.239</w:t>
            </w:r>
          </w:p>
        </w:tc>
        <w:tc>
          <w:tcPr>
            <w:tcW w:w="1276" w:type="dxa"/>
            <w:shd w:val="clear" w:color="auto" w:fill="EAF1DD" w:themeFill="accent3" w:themeFillTint="33"/>
            <w:vAlign w:val="center"/>
          </w:tcPr>
          <w:p w14:paraId="2317BAD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0.84, 1.46</w:t>
            </w:r>
          </w:p>
        </w:tc>
        <w:tc>
          <w:tcPr>
            <w:tcW w:w="1138" w:type="dxa"/>
            <w:shd w:val="clear" w:color="auto" w:fill="EAF1DD" w:themeFill="accent3" w:themeFillTint="33"/>
            <w:noWrap/>
            <w:vAlign w:val="center"/>
          </w:tcPr>
          <w:p w14:paraId="6067D67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0.62 – 1.02</w:t>
            </w:r>
          </w:p>
        </w:tc>
      </w:tr>
      <w:tr w:rsidR="0033454E" w:rsidRPr="00420FFA" w14:paraId="52A4953C" w14:textId="77777777" w:rsidTr="00F047B6">
        <w:trPr>
          <w:trHeight w:val="510"/>
          <w:jc w:val="center"/>
        </w:trPr>
        <w:tc>
          <w:tcPr>
            <w:tcW w:w="1178" w:type="dxa"/>
            <w:shd w:val="clear" w:color="auto" w:fill="FFFFFF" w:themeFill="background1"/>
            <w:noWrap/>
            <w:vAlign w:val="center"/>
          </w:tcPr>
          <w:p w14:paraId="6C2EBA3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Leucine</w:t>
            </w:r>
          </w:p>
        </w:tc>
        <w:tc>
          <w:tcPr>
            <w:tcW w:w="1276" w:type="dxa"/>
            <w:shd w:val="clear" w:color="auto" w:fill="FFFFFF" w:themeFill="background1"/>
            <w:vAlign w:val="center"/>
          </w:tcPr>
          <w:p w14:paraId="57A9A7F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2.06±0.17</w:t>
            </w:r>
          </w:p>
        </w:tc>
        <w:tc>
          <w:tcPr>
            <w:tcW w:w="1275" w:type="dxa"/>
            <w:shd w:val="clear" w:color="auto" w:fill="FFFFFF" w:themeFill="background1"/>
            <w:vAlign w:val="center"/>
          </w:tcPr>
          <w:p w14:paraId="229E8BF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2.08±0.16</w:t>
            </w:r>
          </w:p>
        </w:tc>
        <w:tc>
          <w:tcPr>
            <w:tcW w:w="1418" w:type="dxa"/>
            <w:shd w:val="clear" w:color="auto" w:fill="auto"/>
            <w:vAlign w:val="center"/>
          </w:tcPr>
          <w:p w14:paraId="376C9AF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2.10±0.10</w:t>
            </w:r>
          </w:p>
        </w:tc>
        <w:tc>
          <w:tcPr>
            <w:tcW w:w="850" w:type="dxa"/>
            <w:shd w:val="clear" w:color="auto" w:fill="FFFFFF" w:themeFill="background1"/>
            <w:vAlign w:val="center"/>
          </w:tcPr>
          <w:p w14:paraId="5C8292FB"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0.770</w:t>
            </w:r>
          </w:p>
        </w:tc>
        <w:tc>
          <w:tcPr>
            <w:tcW w:w="851" w:type="dxa"/>
            <w:shd w:val="clear" w:color="auto" w:fill="FFFFFF" w:themeFill="background1"/>
            <w:vAlign w:val="center"/>
          </w:tcPr>
          <w:p w14:paraId="184D946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0.107</w:t>
            </w:r>
          </w:p>
        </w:tc>
        <w:tc>
          <w:tcPr>
            <w:tcW w:w="1276" w:type="dxa"/>
            <w:shd w:val="clear" w:color="auto" w:fill="FFFFFF" w:themeFill="background1"/>
            <w:vAlign w:val="center"/>
          </w:tcPr>
          <w:p w14:paraId="7344135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1.51, 2.49</w:t>
            </w:r>
          </w:p>
        </w:tc>
        <w:tc>
          <w:tcPr>
            <w:tcW w:w="1138" w:type="dxa"/>
            <w:shd w:val="clear" w:color="auto" w:fill="FFFFFF" w:themeFill="background1"/>
            <w:noWrap/>
            <w:vAlign w:val="center"/>
          </w:tcPr>
          <w:p w14:paraId="15A76A4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1.07 – 1.99</w:t>
            </w:r>
          </w:p>
        </w:tc>
      </w:tr>
      <w:tr w:rsidR="0033454E" w:rsidRPr="00420FFA" w14:paraId="60BB23C5" w14:textId="77777777" w:rsidTr="00F047B6">
        <w:trPr>
          <w:trHeight w:val="510"/>
          <w:jc w:val="center"/>
        </w:trPr>
        <w:tc>
          <w:tcPr>
            <w:tcW w:w="1178" w:type="dxa"/>
            <w:shd w:val="clear" w:color="auto" w:fill="EAF1DD" w:themeFill="accent3" w:themeFillTint="33"/>
            <w:noWrap/>
            <w:vAlign w:val="center"/>
          </w:tcPr>
          <w:p w14:paraId="0EFDF32B"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Lysine</w:t>
            </w:r>
          </w:p>
        </w:tc>
        <w:tc>
          <w:tcPr>
            <w:tcW w:w="1276" w:type="dxa"/>
            <w:shd w:val="clear" w:color="auto" w:fill="EAF1DD" w:themeFill="accent3" w:themeFillTint="33"/>
            <w:vAlign w:val="center"/>
          </w:tcPr>
          <w:p w14:paraId="3F66805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1.52±0.11</w:t>
            </w:r>
          </w:p>
        </w:tc>
        <w:tc>
          <w:tcPr>
            <w:tcW w:w="1275" w:type="dxa"/>
            <w:shd w:val="clear" w:color="auto" w:fill="EAF1DD" w:themeFill="accent3" w:themeFillTint="33"/>
            <w:vAlign w:val="center"/>
          </w:tcPr>
          <w:p w14:paraId="5A55E9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1.57±0.11</w:t>
            </w:r>
          </w:p>
        </w:tc>
        <w:tc>
          <w:tcPr>
            <w:tcW w:w="1418" w:type="dxa"/>
            <w:shd w:val="clear" w:color="auto" w:fill="FDE9D9" w:themeFill="accent6" w:themeFillTint="33"/>
            <w:vAlign w:val="center"/>
          </w:tcPr>
          <w:p w14:paraId="2CF88FFC"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1.59±0.09</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56B876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0.120</w:t>
            </w:r>
          </w:p>
        </w:tc>
        <w:tc>
          <w:tcPr>
            <w:tcW w:w="851" w:type="dxa"/>
            <w:shd w:val="clear" w:color="auto" w:fill="EAF1DD" w:themeFill="accent3" w:themeFillTint="33"/>
            <w:vAlign w:val="center"/>
          </w:tcPr>
          <w:p w14:paraId="7DB3C3BC"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0.002</w:t>
            </w:r>
          </w:p>
        </w:tc>
        <w:tc>
          <w:tcPr>
            <w:tcW w:w="1276" w:type="dxa"/>
            <w:shd w:val="clear" w:color="auto" w:fill="EAF1DD" w:themeFill="accent3" w:themeFillTint="33"/>
            <w:vAlign w:val="center"/>
          </w:tcPr>
          <w:p w14:paraId="7468F4E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1.20, 1.98</w:t>
            </w:r>
          </w:p>
        </w:tc>
        <w:tc>
          <w:tcPr>
            <w:tcW w:w="1138" w:type="dxa"/>
            <w:shd w:val="clear" w:color="auto" w:fill="EAF1DD" w:themeFill="accent3" w:themeFillTint="33"/>
            <w:noWrap/>
            <w:vAlign w:val="center"/>
          </w:tcPr>
          <w:p w14:paraId="7987906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0.96 – 1.85</w:t>
            </w:r>
          </w:p>
        </w:tc>
      </w:tr>
      <w:tr w:rsidR="0033454E" w:rsidRPr="00420FFA" w14:paraId="4E7940BC" w14:textId="77777777" w:rsidTr="00F047B6">
        <w:trPr>
          <w:trHeight w:val="510"/>
          <w:jc w:val="center"/>
        </w:trPr>
        <w:tc>
          <w:tcPr>
            <w:tcW w:w="1178" w:type="dxa"/>
            <w:shd w:val="clear" w:color="auto" w:fill="FFFFFF" w:themeFill="background1"/>
            <w:noWrap/>
            <w:vAlign w:val="center"/>
          </w:tcPr>
          <w:p w14:paraId="0658158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Methionine</w:t>
            </w:r>
          </w:p>
        </w:tc>
        <w:tc>
          <w:tcPr>
            <w:tcW w:w="1276" w:type="dxa"/>
            <w:shd w:val="clear" w:color="auto" w:fill="FFFFFF" w:themeFill="background1"/>
            <w:vAlign w:val="center"/>
          </w:tcPr>
          <w:p w14:paraId="7C3DE70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0.505±0.037</w:t>
            </w:r>
          </w:p>
        </w:tc>
        <w:tc>
          <w:tcPr>
            <w:tcW w:w="1275" w:type="dxa"/>
            <w:shd w:val="clear" w:color="auto" w:fill="FFFFFF" w:themeFill="background1"/>
            <w:vAlign w:val="center"/>
          </w:tcPr>
          <w:p w14:paraId="6DD3F5D7"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0.511±0.040</w:t>
            </w:r>
          </w:p>
        </w:tc>
        <w:tc>
          <w:tcPr>
            <w:tcW w:w="1418" w:type="dxa"/>
            <w:shd w:val="clear" w:color="auto" w:fill="FDE9D9" w:themeFill="accent6" w:themeFillTint="33"/>
            <w:vAlign w:val="center"/>
          </w:tcPr>
          <w:p w14:paraId="778B2945"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0.522±0.035</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30BB391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0.757</w:t>
            </w:r>
          </w:p>
        </w:tc>
        <w:tc>
          <w:tcPr>
            <w:tcW w:w="851" w:type="dxa"/>
            <w:shd w:val="clear" w:color="auto" w:fill="FFFFFF" w:themeFill="background1"/>
            <w:vAlign w:val="center"/>
          </w:tcPr>
          <w:p w14:paraId="198B3A3F"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0.021</w:t>
            </w:r>
          </w:p>
        </w:tc>
        <w:tc>
          <w:tcPr>
            <w:tcW w:w="1276" w:type="dxa"/>
            <w:shd w:val="clear" w:color="auto" w:fill="FFFFFF" w:themeFill="background1"/>
            <w:vAlign w:val="center"/>
          </w:tcPr>
          <w:p w14:paraId="0D465084"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0.379, 0.657</w:t>
            </w:r>
          </w:p>
        </w:tc>
        <w:tc>
          <w:tcPr>
            <w:tcW w:w="1138" w:type="dxa"/>
            <w:shd w:val="clear" w:color="auto" w:fill="FFFFFF" w:themeFill="background1"/>
            <w:noWrap/>
            <w:vAlign w:val="center"/>
          </w:tcPr>
          <w:p w14:paraId="5D8B925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0.27 – 0.52</w:t>
            </w:r>
          </w:p>
        </w:tc>
      </w:tr>
      <w:tr w:rsidR="0033454E" w:rsidRPr="00420FFA" w14:paraId="0103FBCC" w14:textId="77777777" w:rsidTr="00F047B6">
        <w:trPr>
          <w:trHeight w:val="510"/>
          <w:jc w:val="center"/>
        </w:trPr>
        <w:tc>
          <w:tcPr>
            <w:tcW w:w="1178" w:type="dxa"/>
            <w:shd w:val="clear" w:color="auto" w:fill="EAF1DD" w:themeFill="accent3" w:themeFillTint="33"/>
            <w:noWrap/>
            <w:vAlign w:val="center"/>
          </w:tcPr>
          <w:p w14:paraId="1CB54A2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Phenylalanine</w:t>
            </w:r>
          </w:p>
        </w:tc>
        <w:tc>
          <w:tcPr>
            <w:tcW w:w="1276" w:type="dxa"/>
            <w:shd w:val="clear" w:color="auto" w:fill="EAF1DD" w:themeFill="accent3" w:themeFillTint="33"/>
            <w:vAlign w:val="center"/>
          </w:tcPr>
          <w:p w14:paraId="71EBB76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1.19±0.10</w:t>
            </w:r>
          </w:p>
        </w:tc>
        <w:tc>
          <w:tcPr>
            <w:tcW w:w="1275" w:type="dxa"/>
            <w:shd w:val="clear" w:color="auto" w:fill="EAF1DD" w:themeFill="accent3" w:themeFillTint="33"/>
            <w:vAlign w:val="center"/>
          </w:tcPr>
          <w:p w14:paraId="7AE7CB7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1.20±0.10</w:t>
            </w:r>
          </w:p>
        </w:tc>
        <w:tc>
          <w:tcPr>
            <w:tcW w:w="1418" w:type="dxa"/>
            <w:shd w:val="clear" w:color="auto" w:fill="FDE9D9" w:themeFill="accent6" w:themeFillTint="33"/>
            <w:vAlign w:val="center"/>
          </w:tcPr>
          <w:p w14:paraId="2974DD4F"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1.22±0.06</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035AF42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0.704</w:t>
            </w:r>
          </w:p>
        </w:tc>
        <w:tc>
          <w:tcPr>
            <w:tcW w:w="851" w:type="dxa"/>
            <w:shd w:val="clear" w:color="auto" w:fill="EAF1DD" w:themeFill="accent3" w:themeFillTint="33"/>
            <w:vAlign w:val="center"/>
          </w:tcPr>
          <w:p w14:paraId="5354FE1E"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0.044</w:t>
            </w:r>
          </w:p>
        </w:tc>
        <w:tc>
          <w:tcPr>
            <w:tcW w:w="1276" w:type="dxa"/>
            <w:shd w:val="clear" w:color="auto" w:fill="EAF1DD" w:themeFill="accent3" w:themeFillTint="33"/>
            <w:vAlign w:val="center"/>
          </w:tcPr>
          <w:p w14:paraId="7EA5941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0.87, 1.44</w:t>
            </w:r>
          </w:p>
        </w:tc>
        <w:tc>
          <w:tcPr>
            <w:tcW w:w="1138" w:type="dxa"/>
            <w:shd w:val="clear" w:color="auto" w:fill="EAF1DD" w:themeFill="accent3" w:themeFillTint="33"/>
            <w:noWrap/>
            <w:vAlign w:val="center"/>
          </w:tcPr>
          <w:p w14:paraId="312F5CB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0.64 – 1.07</w:t>
            </w:r>
          </w:p>
        </w:tc>
      </w:tr>
      <w:tr w:rsidR="0033454E" w:rsidRPr="00420FFA" w14:paraId="52224B3D" w14:textId="77777777" w:rsidTr="00F047B6">
        <w:trPr>
          <w:trHeight w:val="510"/>
          <w:jc w:val="center"/>
        </w:trPr>
        <w:tc>
          <w:tcPr>
            <w:tcW w:w="1178" w:type="dxa"/>
            <w:shd w:val="clear" w:color="auto" w:fill="FFFFFF" w:themeFill="background1"/>
            <w:noWrap/>
            <w:vAlign w:val="center"/>
          </w:tcPr>
          <w:p w14:paraId="10DF808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Proline</w:t>
            </w:r>
          </w:p>
        </w:tc>
        <w:tc>
          <w:tcPr>
            <w:tcW w:w="1276" w:type="dxa"/>
            <w:shd w:val="clear" w:color="auto" w:fill="FFFFFF" w:themeFill="background1"/>
            <w:vAlign w:val="center"/>
          </w:tcPr>
          <w:p w14:paraId="69517B9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1.73±0.21</w:t>
            </w:r>
          </w:p>
        </w:tc>
        <w:tc>
          <w:tcPr>
            <w:tcW w:w="1275" w:type="dxa"/>
            <w:shd w:val="clear" w:color="auto" w:fill="FFFFFF" w:themeFill="background1"/>
            <w:vAlign w:val="center"/>
          </w:tcPr>
          <w:p w14:paraId="75FFA4C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1.77±0.21</w:t>
            </w:r>
          </w:p>
        </w:tc>
        <w:tc>
          <w:tcPr>
            <w:tcW w:w="1418" w:type="dxa"/>
            <w:shd w:val="clear" w:color="auto" w:fill="FDE9D9" w:themeFill="accent6" w:themeFillTint="33"/>
            <w:vAlign w:val="center"/>
          </w:tcPr>
          <w:p w14:paraId="6B60BEF4"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1.83±0.26</w:t>
            </w:r>
            <w:r w:rsidRPr="006B3E6D">
              <w:rPr>
                <w:rFonts w:cs="Arial"/>
                <w:color w:val="000000" w:themeColor="text1"/>
                <w:sz w:val="18"/>
                <w:szCs w:val="18"/>
                <w:vertAlign w:val="superscript"/>
              </w:rPr>
              <w:t>2</w:t>
            </w:r>
          </w:p>
        </w:tc>
        <w:tc>
          <w:tcPr>
            <w:tcW w:w="850" w:type="dxa"/>
            <w:shd w:val="clear" w:color="auto" w:fill="FFFFFF" w:themeFill="background1"/>
            <w:vAlign w:val="center"/>
          </w:tcPr>
          <w:p w14:paraId="798A890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0.362</w:t>
            </w:r>
          </w:p>
        </w:tc>
        <w:tc>
          <w:tcPr>
            <w:tcW w:w="851" w:type="dxa"/>
            <w:shd w:val="clear" w:color="auto" w:fill="FFFFFF" w:themeFill="background1"/>
            <w:vAlign w:val="center"/>
          </w:tcPr>
          <w:p w14:paraId="52B8C603"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&lt;0.001</w:t>
            </w:r>
          </w:p>
        </w:tc>
        <w:tc>
          <w:tcPr>
            <w:tcW w:w="1276" w:type="dxa"/>
            <w:shd w:val="clear" w:color="auto" w:fill="FFFFFF" w:themeFill="background1"/>
            <w:vAlign w:val="center"/>
          </w:tcPr>
          <w:p w14:paraId="1591388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1.22, 2.32</w:t>
            </w:r>
          </w:p>
        </w:tc>
        <w:tc>
          <w:tcPr>
            <w:tcW w:w="1138" w:type="dxa"/>
            <w:shd w:val="clear" w:color="auto" w:fill="FFFFFF" w:themeFill="background1"/>
            <w:noWrap/>
            <w:vAlign w:val="center"/>
          </w:tcPr>
          <w:p w14:paraId="7F32924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0.85 – 3.74</w:t>
            </w:r>
          </w:p>
        </w:tc>
      </w:tr>
      <w:tr w:rsidR="0033454E" w:rsidRPr="00420FFA" w14:paraId="63B6374D" w14:textId="77777777" w:rsidTr="00F047B6">
        <w:trPr>
          <w:trHeight w:val="510"/>
          <w:jc w:val="center"/>
        </w:trPr>
        <w:tc>
          <w:tcPr>
            <w:tcW w:w="1178" w:type="dxa"/>
            <w:shd w:val="clear" w:color="auto" w:fill="EAF1DD" w:themeFill="accent3" w:themeFillTint="33"/>
            <w:noWrap/>
            <w:vAlign w:val="center"/>
          </w:tcPr>
          <w:p w14:paraId="08AD4BD7"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Serine</w:t>
            </w:r>
          </w:p>
        </w:tc>
        <w:tc>
          <w:tcPr>
            <w:tcW w:w="1276" w:type="dxa"/>
            <w:shd w:val="clear" w:color="auto" w:fill="EAF1DD" w:themeFill="accent3" w:themeFillTint="33"/>
            <w:vAlign w:val="center"/>
          </w:tcPr>
          <w:p w14:paraId="7B43211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1.22±0.10</w:t>
            </w:r>
          </w:p>
        </w:tc>
        <w:tc>
          <w:tcPr>
            <w:tcW w:w="1275" w:type="dxa"/>
            <w:shd w:val="clear" w:color="auto" w:fill="EAF1DD" w:themeFill="accent3" w:themeFillTint="33"/>
            <w:vAlign w:val="center"/>
          </w:tcPr>
          <w:p w14:paraId="5958583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1.23±0.09</w:t>
            </w:r>
          </w:p>
        </w:tc>
        <w:tc>
          <w:tcPr>
            <w:tcW w:w="1418" w:type="dxa"/>
            <w:shd w:val="clear" w:color="auto" w:fill="FDE9D9" w:themeFill="accent6" w:themeFillTint="33"/>
            <w:vAlign w:val="center"/>
          </w:tcPr>
          <w:p w14:paraId="2D3D74D3"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1.25±0.06</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29B78EA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0.685</w:t>
            </w:r>
          </w:p>
        </w:tc>
        <w:tc>
          <w:tcPr>
            <w:tcW w:w="851" w:type="dxa"/>
            <w:shd w:val="clear" w:color="auto" w:fill="EAF1DD" w:themeFill="accent3" w:themeFillTint="33"/>
            <w:vAlign w:val="center"/>
          </w:tcPr>
          <w:p w14:paraId="01E79760"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0.043</w:t>
            </w:r>
          </w:p>
        </w:tc>
        <w:tc>
          <w:tcPr>
            <w:tcW w:w="1276" w:type="dxa"/>
            <w:shd w:val="clear" w:color="auto" w:fill="EAF1DD" w:themeFill="accent3" w:themeFillTint="33"/>
            <w:vAlign w:val="center"/>
          </w:tcPr>
          <w:p w14:paraId="2CA6EC0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0.92, 1.47</w:t>
            </w:r>
          </w:p>
        </w:tc>
        <w:tc>
          <w:tcPr>
            <w:tcW w:w="1138" w:type="dxa"/>
            <w:shd w:val="clear" w:color="auto" w:fill="EAF1DD" w:themeFill="accent3" w:themeFillTint="33"/>
            <w:noWrap/>
            <w:vAlign w:val="center"/>
          </w:tcPr>
          <w:p w14:paraId="1AB9C48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0.69 – 1.55</w:t>
            </w:r>
          </w:p>
        </w:tc>
      </w:tr>
      <w:tr w:rsidR="0033454E" w:rsidRPr="00420FFA" w14:paraId="5426ABC8" w14:textId="77777777" w:rsidTr="00F047B6">
        <w:trPr>
          <w:trHeight w:val="510"/>
          <w:jc w:val="center"/>
        </w:trPr>
        <w:tc>
          <w:tcPr>
            <w:tcW w:w="1178" w:type="dxa"/>
            <w:shd w:val="clear" w:color="auto" w:fill="auto"/>
            <w:noWrap/>
            <w:vAlign w:val="center"/>
          </w:tcPr>
          <w:p w14:paraId="60747C4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Threonine</w:t>
            </w:r>
          </w:p>
        </w:tc>
        <w:tc>
          <w:tcPr>
            <w:tcW w:w="1276" w:type="dxa"/>
            <w:shd w:val="clear" w:color="auto" w:fill="auto"/>
            <w:vAlign w:val="center"/>
          </w:tcPr>
          <w:p w14:paraId="6FCFD06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1.22±0.09</w:t>
            </w:r>
          </w:p>
        </w:tc>
        <w:tc>
          <w:tcPr>
            <w:tcW w:w="1275" w:type="dxa"/>
            <w:shd w:val="clear" w:color="auto" w:fill="auto"/>
            <w:vAlign w:val="center"/>
          </w:tcPr>
          <w:p w14:paraId="127B1D3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1.23±0.08</w:t>
            </w:r>
          </w:p>
        </w:tc>
        <w:tc>
          <w:tcPr>
            <w:tcW w:w="1418" w:type="dxa"/>
            <w:shd w:val="clear" w:color="auto" w:fill="auto"/>
            <w:vAlign w:val="center"/>
          </w:tcPr>
          <w:p w14:paraId="181CB55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1.24±0.06</w:t>
            </w:r>
          </w:p>
        </w:tc>
        <w:tc>
          <w:tcPr>
            <w:tcW w:w="850" w:type="dxa"/>
            <w:shd w:val="clear" w:color="auto" w:fill="auto"/>
            <w:vAlign w:val="center"/>
          </w:tcPr>
          <w:p w14:paraId="20660687"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0.946</w:t>
            </w:r>
          </w:p>
        </w:tc>
        <w:tc>
          <w:tcPr>
            <w:tcW w:w="851" w:type="dxa"/>
            <w:shd w:val="clear" w:color="auto" w:fill="auto"/>
            <w:vAlign w:val="center"/>
          </w:tcPr>
          <w:p w14:paraId="051531C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0.205</w:t>
            </w:r>
          </w:p>
        </w:tc>
        <w:tc>
          <w:tcPr>
            <w:tcW w:w="1276" w:type="dxa"/>
            <w:shd w:val="clear" w:color="auto" w:fill="auto"/>
            <w:vAlign w:val="center"/>
          </w:tcPr>
          <w:p w14:paraId="1924474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0.93, 1.47</w:t>
            </w:r>
          </w:p>
        </w:tc>
        <w:tc>
          <w:tcPr>
            <w:tcW w:w="1138" w:type="dxa"/>
            <w:shd w:val="clear" w:color="auto" w:fill="auto"/>
            <w:noWrap/>
            <w:vAlign w:val="center"/>
          </w:tcPr>
          <w:p w14:paraId="1FCE9B4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0.74 – 1.30</w:t>
            </w:r>
          </w:p>
        </w:tc>
      </w:tr>
      <w:tr w:rsidR="0033454E" w:rsidRPr="00420FFA" w14:paraId="42A75312" w14:textId="77777777" w:rsidTr="00F047B6">
        <w:trPr>
          <w:trHeight w:val="510"/>
          <w:jc w:val="center"/>
        </w:trPr>
        <w:tc>
          <w:tcPr>
            <w:tcW w:w="1178" w:type="dxa"/>
            <w:shd w:val="clear" w:color="auto" w:fill="EAF1DD" w:themeFill="accent3" w:themeFillTint="33"/>
            <w:noWrap/>
            <w:vAlign w:val="center"/>
          </w:tcPr>
          <w:p w14:paraId="6A99071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lastRenderedPageBreak/>
              <w:t>Tryptophan</w:t>
            </w:r>
          </w:p>
        </w:tc>
        <w:tc>
          <w:tcPr>
            <w:tcW w:w="1276" w:type="dxa"/>
            <w:shd w:val="clear" w:color="auto" w:fill="EAF1DD" w:themeFill="accent3" w:themeFillTint="33"/>
            <w:vAlign w:val="center"/>
          </w:tcPr>
          <w:p w14:paraId="0BB14191"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0.416±0.033</w:t>
            </w:r>
          </w:p>
        </w:tc>
        <w:tc>
          <w:tcPr>
            <w:tcW w:w="1275" w:type="dxa"/>
            <w:shd w:val="clear" w:color="auto" w:fill="EAF1DD" w:themeFill="accent3" w:themeFillTint="33"/>
            <w:vAlign w:val="center"/>
          </w:tcPr>
          <w:p w14:paraId="2A2D0D1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0.420±0.036</w:t>
            </w:r>
          </w:p>
        </w:tc>
        <w:tc>
          <w:tcPr>
            <w:tcW w:w="1418" w:type="dxa"/>
            <w:shd w:val="clear" w:color="auto" w:fill="FDE9D9" w:themeFill="accent6" w:themeFillTint="33"/>
            <w:vAlign w:val="center"/>
          </w:tcPr>
          <w:p w14:paraId="1D5C657B" w14:textId="77777777" w:rsidR="0033454E" w:rsidRPr="006B3E6D" w:rsidRDefault="0033454E" w:rsidP="0033454E">
            <w:pPr>
              <w:jc w:val="center"/>
              <w:rPr>
                <w:rFonts w:cs="Arial"/>
                <w:color w:val="000000" w:themeColor="text1"/>
                <w:sz w:val="18"/>
                <w:szCs w:val="18"/>
                <w:vertAlign w:val="superscript"/>
              </w:rPr>
            </w:pPr>
            <w:r w:rsidRPr="006B3E6D">
              <w:rPr>
                <w:rFonts w:cs="Arial"/>
                <w:color w:val="000000" w:themeColor="text1"/>
                <w:sz w:val="18"/>
                <w:szCs w:val="18"/>
              </w:rPr>
              <w:t>0.428±0.028</w:t>
            </w:r>
            <w:r w:rsidRPr="006B3E6D">
              <w:rPr>
                <w:rFonts w:cs="Arial"/>
                <w:color w:val="000000" w:themeColor="text1"/>
                <w:sz w:val="18"/>
                <w:szCs w:val="18"/>
                <w:vertAlign w:val="superscript"/>
              </w:rPr>
              <w:t>2</w:t>
            </w:r>
          </w:p>
        </w:tc>
        <w:tc>
          <w:tcPr>
            <w:tcW w:w="850" w:type="dxa"/>
            <w:shd w:val="clear" w:color="auto" w:fill="EAF1DD" w:themeFill="accent3" w:themeFillTint="33"/>
            <w:vAlign w:val="center"/>
          </w:tcPr>
          <w:p w14:paraId="7CADDAA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0.718</w:t>
            </w:r>
          </w:p>
        </w:tc>
        <w:tc>
          <w:tcPr>
            <w:tcW w:w="851" w:type="dxa"/>
            <w:shd w:val="clear" w:color="auto" w:fill="EAF1DD" w:themeFill="accent3" w:themeFillTint="33"/>
            <w:vAlign w:val="center"/>
          </w:tcPr>
          <w:p w14:paraId="34AA10A3" w14:textId="77777777" w:rsidR="0033454E" w:rsidRPr="006B3E6D" w:rsidRDefault="0033454E" w:rsidP="0033454E">
            <w:pPr>
              <w:jc w:val="center"/>
              <w:rPr>
                <w:rFonts w:cs="Arial"/>
                <w:b/>
                <w:color w:val="000000" w:themeColor="text1"/>
                <w:sz w:val="18"/>
                <w:szCs w:val="18"/>
                <w:u w:val="single"/>
              </w:rPr>
            </w:pPr>
            <w:r w:rsidRPr="006B3E6D">
              <w:rPr>
                <w:rFonts w:cs="Arial"/>
                <w:b/>
                <w:color w:val="000000" w:themeColor="text1"/>
                <w:sz w:val="18"/>
                <w:szCs w:val="18"/>
                <w:u w:val="single"/>
              </w:rPr>
              <w:t>0.050</w:t>
            </w:r>
          </w:p>
        </w:tc>
        <w:tc>
          <w:tcPr>
            <w:tcW w:w="1276" w:type="dxa"/>
            <w:shd w:val="clear" w:color="auto" w:fill="EAF1DD" w:themeFill="accent3" w:themeFillTint="33"/>
            <w:vAlign w:val="center"/>
          </w:tcPr>
          <w:p w14:paraId="7B4CFA21"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0.283, 0.534</w:t>
            </w:r>
          </w:p>
        </w:tc>
        <w:tc>
          <w:tcPr>
            <w:tcW w:w="1138" w:type="dxa"/>
            <w:shd w:val="clear" w:color="auto" w:fill="EAF1DD" w:themeFill="accent3" w:themeFillTint="33"/>
            <w:noWrap/>
            <w:vAlign w:val="center"/>
          </w:tcPr>
          <w:p w14:paraId="5324B7AD"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0.20 – 0.37</w:t>
            </w:r>
          </w:p>
        </w:tc>
      </w:tr>
      <w:tr w:rsidR="0033454E" w:rsidRPr="00420FFA" w14:paraId="4E8B35FC" w14:textId="77777777" w:rsidTr="00F047B6">
        <w:trPr>
          <w:trHeight w:val="510"/>
          <w:jc w:val="center"/>
        </w:trPr>
        <w:tc>
          <w:tcPr>
            <w:tcW w:w="1178" w:type="dxa"/>
            <w:shd w:val="clear" w:color="auto" w:fill="auto"/>
            <w:noWrap/>
            <w:vAlign w:val="center"/>
          </w:tcPr>
          <w:p w14:paraId="282AB09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Tyrosine</w:t>
            </w:r>
          </w:p>
        </w:tc>
        <w:tc>
          <w:tcPr>
            <w:tcW w:w="1276" w:type="dxa"/>
            <w:shd w:val="clear" w:color="auto" w:fill="auto"/>
            <w:vAlign w:val="center"/>
          </w:tcPr>
          <w:p w14:paraId="08C606B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0.899±0.067</w:t>
            </w:r>
          </w:p>
        </w:tc>
        <w:tc>
          <w:tcPr>
            <w:tcW w:w="1275" w:type="dxa"/>
            <w:shd w:val="clear" w:color="auto" w:fill="auto"/>
            <w:vAlign w:val="center"/>
          </w:tcPr>
          <w:p w14:paraId="2FFBB315"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0.901±0.064</w:t>
            </w:r>
          </w:p>
        </w:tc>
        <w:tc>
          <w:tcPr>
            <w:tcW w:w="1418" w:type="dxa"/>
            <w:shd w:val="clear" w:color="auto" w:fill="auto"/>
            <w:vAlign w:val="center"/>
          </w:tcPr>
          <w:p w14:paraId="6611ECFE"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0.911±0.040</w:t>
            </w:r>
          </w:p>
        </w:tc>
        <w:tc>
          <w:tcPr>
            <w:tcW w:w="850" w:type="dxa"/>
            <w:shd w:val="clear" w:color="auto" w:fill="auto"/>
            <w:vAlign w:val="center"/>
          </w:tcPr>
          <w:p w14:paraId="58BDA73C"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0.933</w:t>
            </w:r>
          </w:p>
        </w:tc>
        <w:tc>
          <w:tcPr>
            <w:tcW w:w="851" w:type="dxa"/>
            <w:shd w:val="clear" w:color="auto" w:fill="auto"/>
            <w:vAlign w:val="center"/>
          </w:tcPr>
          <w:p w14:paraId="7EC59643"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0.187</w:t>
            </w:r>
          </w:p>
        </w:tc>
        <w:tc>
          <w:tcPr>
            <w:tcW w:w="1276" w:type="dxa"/>
            <w:shd w:val="clear" w:color="auto" w:fill="auto"/>
            <w:vAlign w:val="center"/>
          </w:tcPr>
          <w:p w14:paraId="7D22970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0.669, 1.072</w:t>
            </w:r>
          </w:p>
        </w:tc>
        <w:tc>
          <w:tcPr>
            <w:tcW w:w="1138" w:type="dxa"/>
            <w:shd w:val="clear" w:color="auto" w:fill="auto"/>
            <w:noWrap/>
            <w:vAlign w:val="center"/>
          </w:tcPr>
          <w:p w14:paraId="3307D53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0.51 – 0.92</w:t>
            </w:r>
          </w:p>
        </w:tc>
      </w:tr>
      <w:tr w:rsidR="0033454E" w:rsidRPr="00420FFA" w14:paraId="769E8B25" w14:textId="77777777" w:rsidTr="00F047B6">
        <w:trPr>
          <w:trHeight w:val="510"/>
          <w:jc w:val="center"/>
        </w:trPr>
        <w:tc>
          <w:tcPr>
            <w:tcW w:w="1178" w:type="dxa"/>
            <w:shd w:val="clear" w:color="auto" w:fill="EAF1DD" w:themeFill="accent3" w:themeFillTint="33"/>
            <w:noWrap/>
            <w:vAlign w:val="center"/>
          </w:tcPr>
          <w:p w14:paraId="4DA2D552"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Valine</w:t>
            </w:r>
          </w:p>
        </w:tc>
        <w:tc>
          <w:tcPr>
            <w:tcW w:w="1276" w:type="dxa"/>
            <w:shd w:val="clear" w:color="auto" w:fill="EAF1DD" w:themeFill="accent3" w:themeFillTint="33"/>
            <w:vAlign w:val="center"/>
          </w:tcPr>
          <w:p w14:paraId="7ADE7D48"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1.45±0.12</w:t>
            </w:r>
          </w:p>
        </w:tc>
        <w:tc>
          <w:tcPr>
            <w:tcW w:w="1275" w:type="dxa"/>
            <w:shd w:val="clear" w:color="auto" w:fill="EAF1DD" w:themeFill="accent3" w:themeFillTint="33"/>
            <w:vAlign w:val="center"/>
          </w:tcPr>
          <w:p w14:paraId="447932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1.46±0.11</w:t>
            </w:r>
          </w:p>
        </w:tc>
        <w:tc>
          <w:tcPr>
            <w:tcW w:w="1418" w:type="dxa"/>
            <w:shd w:val="clear" w:color="auto" w:fill="EAF1DD" w:themeFill="accent3" w:themeFillTint="33"/>
            <w:vAlign w:val="center"/>
          </w:tcPr>
          <w:p w14:paraId="78A002FF"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1.47±0.07</w:t>
            </w:r>
          </w:p>
        </w:tc>
        <w:tc>
          <w:tcPr>
            <w:tcW w:w="850" w:type="dxa"/>
            <w:shd w:val="clear" w:color="auto" w:fill="EAF1DD" w:themeFill="accent3" w:themeFillTint="33"/>
            <w:vAlign w:val="center"/>
          </w:tcPr>
          <w:p w14:paraId="2D9FE6E0"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0.996</w:t>
            </w:r>
          </w:p>
        </w:tc>
        <w:tc>
          <w:tcPr>
            <w:tcW w:w="851" w:type="dxa"/>
            <w:shd w:val="clear" w:color="auto" w:fill="EAF1DD" w:themeFill="accent3" w:themeFillTint="33"/>
            <w:vAlign w:val="center"/>
          </w:tcPr>
          <w:p w14:paraId="6A68EAFA"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0.126</w:t>
            </w:r>
          </w:p>
        </w:tc>
        <w:tc>
          <w:tcPr>
            <w:tcW w:w="1276" w:type="dxa"/>
            <w:shd w:val="clear" w:color="auto" w:fill="EAF1DD" w:themeFill="accent3" w:themeFillTint="33"/>
            <w:vAlign w:val="center"/>
          </w:tcPr>
          <w:p w14:paraId="560B5D39"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1.06, 1.77</w:t>
            </w:r>
          </w:p>
        </w:tc>
        <w:tc>
          <w:tcPr>
            <w:tcW w:w="1138" w:type="dxa"/>
            <w:shd w:val="clear" w:color="auto" w:fill="EAF1DD" w:themeFill="accent3" w:themeFillTint="33"/>
            <w:noWrap/>
            <w:vAlign w:val="center"/>
          </w:tcPr>
          <w:p w14:paraId="0D043CD6" w14:textId="77777777" w:rsidR="0033454E" w:rsidRPr="006B3E6D" w:rsidRDefault="0033454E" w:rsidP="0033454E">
            <w:pPr>
              <w:jc w:val="center"/>
              <w:rPr>
                <w:rFonts w:cs="Arial"/>
                <w:color w:val="000000" w:themeColor="text1"/>
                <w:sz w:val="18"/>
                <w:szCs w:val="18"/>
              </w:rPr>
            </w:pPr>
            <w:r w:rsidRPr="006B3E6D">
              <w:rPr>
                <w:rFonts w:cs="Arial"/>
                <w:color w:val="000000" w:themeColor="text1"/>
                <w:sz w:val="18"/>
                <w:szCs w:val="18"/>
              </w:rPr>
              <w:t>0.8 – 1.55</w:t>
            </w:r>
          </w:p>
        </w:tc>
      </w:tr>
    </w:tbl>
    <w:p w14:paraId="3B4D0D7E" w14:textId="77777777" w:rsidR="0033454E" w:rsidRPr="00A81CB6" w:rsidRDefault="0033454E" w:rsidP="0033454E">
      <w:pPr>
        <w:autoSpaceDE w:val="0"/>
        <w:autoSpaceDN w:val="0"/>
        <w:adjustRightInd w:val="0"/>
        <w:rPr>
          <w:color w:val="000000" w:themeColor="text1"/>
          <w:sz w:val="18"/>
          <w:szCs w:val="18"/>
        </w:rPr>
      </w:pPr>
      <w:r w:rsidRPr="00A81CB6">
        <w:rPr>
          <w:color w:val="000000" w:themeColor="text1"/>
          <w:sz w:val="18"/>
          <w:szCs w:val="18"/>
          <w:vertAlign w:val="superscript"/>
        </w:rPr>
        <w:t>1</w:t>
      </w:r>
      <w:r w:rsidRPr="00A81CB6">
        <w:rPr>
          <w:color w:val="000000" w:themeColor="text1"/>
          <w:sz w:val="18"/>
          <w:szCs w:val="18"/>
        </w:rPr>
        <w:t xml:space="preserve"> p-values indicating significant differences are bolded and underlined.</w:t>
      </w:r>
    </w:p>
    <w:p w14:paraId="160B68C7" w14:textId="7D93461F" w:rsidR="0033454E" w:rsidRPr="006B3E6D" w:rsidRDefault="0033454E" w:rsidP="006B3E6D">
      <w:pPr>
        <w:autoSpaceDE w:val="0"/>
        <w:autoSpaceDN w:val="0"/>
        <w:adjustRightInd w:val="0"/>
        <w:ind w:left="284" w:hanging="284"/>
        <w:rPr>
          <w:rFonts w:cs="Arial"/>
          <w:color w:val="000000" w:themeColor="text1"/>
          <w:sz w:val="18"/>
          <w:szCs w:val="18"/>
        </w:rPr>
      </w:pPr>
      <w:r w:rsidRPr="006B3E6D">
        <w:rPr>
          <w:color w:val="000000" w:themeColor="text1"/>
          <w:sz w:val="18"/>
          <w:szCs w:val="18"/>
          <w:vertAlign w:val="superscript"/>
        </w:rPr>
        <w:t>2</w:t>
      </w:r>
      <w:r w:rsidRPr="006B3E6D">
        <w:rPr>
          <w:rFonts w:cs="Arial"/>
          <w:color w:val="000000" w:themeColor="text1"/>
          <w:sz w:val="18"/>
          <w:szCs w:val="18"/>
        </w:rPr>
        <w:t xml:space="preserve"> </w:t>
      </w:r>
      <w:r w:rsidR="006B3E6D" w:rsidRPr="006B3E6D">
        <w:rPr>
          <w:rFonts w:cs="Arial"/>
          <w:color w:val="000000" w:themeColor="text1"/>
          <w:sz w:val="18"/>
          <w:szCs w:val="18"/>
        </w:rPr>
        <w:t>orange shading represents MS11 mean</w:t>
      </w:r>
      <w:r w:rsidR="006B3E6D">
        <w:rPr>
          <w:rFonts w:cs="Arial"/>
          <w:color w:val="000000" w:themeColor="text1"/>
          <w:sz w:val="18"/>
          <w:szCs w:val="18"/>
        </w:rPr>
        <w:t>s that are significantly higher than the N90-740 means</w:t>
      </w:r>
      <w:r w:rsidR="00041AF7">
        <w:rPr>
          <w:rFonts w:cs="Arial"/>
          <w:color w:val="000000" w:themeColor="text1"/>
          <w:sz w:val="18"/>
          <w:szCs w:val="18"/>
        </w:rPr>
        <w:t>.</w:t>
      </w:r>
    </w:p>
    <w:p w14:paraId="4EBF5124" w14:textId="476D28ED" w:rsidR="0033454E" w:rsidRPr="00EB45F0" w:rsidRDefault="00283E37" w:rsidP="0033454E">
      <w:pPr>
        <w:pStyle w:val="Heading3"/>
      </w:pPr>
      <w:r>
        <w:t>5.3.4</w:t>
      </w:r>
      <w:r w:rsidR="0033454E" w:rsidRPr="00EB45F0">
        <w:tab/>
        <w:t>Minerals</w:t>
      </w:r>
    </w:p>
    <w:p w14:paraId="1C98AA6C" w14:textId="77777777" w:rsidR="0033454E" w:rsidRPr="00BF13E2" w:rsidRDefault="0033454E" w:rsidP="0033454E">
      <w:pPr>
        <w:widowControl/>
        <w:autoSpaceDE w:val="0"/>
        <w:autoSpaceDN w:val="0"/>
        <w:adjustRightInd w:val="0"/>
        <w:rPr>
          <w:rFonts w:cs="Arial"/>
          <w:color w:val="000000" w:themeColor="text1"/>
          <w:szCs w:val="22"/>
          <w:lang w:eastAsia="en-GB" w:bidi="ar-SA"/>
        </w:rPr>
      </w:pPr>
      <w:r w:rsidRPr="00BF13E2">
        <w:rPr>
          <w:rFonts w:eastAsia="Batang" w:cs="Arial"/>
          <w:bCs/>
          <w:color w:val="000000" w:themeColor="text1"/>
          <w:szCs w:val="22"/>
        </w:rPr>
        <w:t>Levels of nine minerals were measured</w:t>
      </w:r>
      <w:r w:rsidRPr="00A36476">
        <w:rPr>
          <w:rFonts w:eastAsia="Batang" w:cs="Arial"/>
          <w:bCs/>
          <w:color w:val="000000" w:themeColor="text1"/>
          <w:szCs w:val="22"/>
        </w:rPr>
        <w:t>. Sodium</w:t>
      </w:r>
      <w:r w:rsidRPr="00BF13E2">
        <w:rPr>
          <w:rFonts w:eastAsia="Batang" w:cs="Arial"/>
          <w:bCs/>
          <w:color w:val="000000" w:themeColor="text1"/>
          <w:szCs w:val="22"/>
        </w:rPr>
        <w:t xml:space="preserve"> was below the LOQ in many samples and was excluded from the analysis.</w:t>
      </w:r>
      <w:r>
        <w:rPr>
          <w:rFonts w:eastAsia="Batang" w:cs="Arial"/>
          <w:bCs/>
          <w:color w:val="000000" w:themeColor="text1"/>
          <w:szCs w:val="22"/>
        </w:rPr>
        <w:t xml:space="preserve"> </w:t>
      </w:r>
      <w:r w:rsidRPr="00BF13E2">
        <w:rPr>
          <w:rFonts w:eastAsia="Batang" w:cs="Arial"/>
          <w:bCs/>
          <w:color w:val="000000" w:themeColor="text1"/>
          <w:szCs w:val="22"/>
        </w:rPr>
        <w:t xml:space="preserve">The means for the remaining minerals are given </w:t>
      </w:r>
      <w:r w:rsidRPr="004F4FDA">
        <w:rPr>
          <w:rFonts w:eastAsia="Batang" w:cs="Arial"/>
          <w:bCs/>
          <w:color w:val="000000" w:themeColor="text1"/>
          <w:szCs w:val="22"/>
        </w:rPr>
        <w:t xml:space="preserve">in </w:t>
      </w:r>
      <w:r w:rsidRPr="004F4FDA">
        <w:rPr>
          <w:rFonts w:cs="Arial"/>
          <w:color w:val="000000" w:themeColor="text1"/>
        </w:rPr>
        <w:t>Table 8.</w:t>
      </w:r>
      <w:r w:rsidRPr="00BF13E2">
        <w:rPr>
          <w:rFonts w:cs="Arial"/>
          <w:color w:val="000000" w:themeColor="text1"/>
        </w:rPr>
        <w:t xml:space="preserve"> </w:t>
      </w:r>
      <w:r w:rsidRPr="00BF13E2">
        <w:rPr>
          <w:rFonts w:cs="Arial"/>
          <w:color w:val="000000" w:themeColor="text1"/>
          <w:szCs w:val="22"/>
        </w:rPr>
        <w:t xml:space="preserve">There was no significant difference between the means for unsprayed MS11 and those for the control for any mineral measured. For sprayed MS11, levels of copper, magnesium, phosphorus, potassium and zinc were significantly higher than those in the control. However, </w:t>
      </w:r>
      <w:r w:rsidRPr="00BF13E2">
        <w:rPr>
          <w:rFonts w:cs="Arial"/>
          <w:color w:val="000000" w:themeColor="text1"/>
          <w:szCs w:val="22"/>
          <w:lang w:eastAsia="en-GB" w:bidi="ar-SA"/>
        </w:rPr>
        <w:t>the means for all entries, for all minerals, were within both the tolerance interval of the reference varieties and the combined literature range.</w:t>
      </w:r>
    </w:p>
    <w:p w14:paraId="27CEAAA2" w14:textId="77777777" w:rsidR="0033454E" w:rsidRPr="00BF13E2" w:rsidRDefault="0033454E" w:rsidP="0033454E">
      <w:pPr>
        <w:widowControl/>
        <w:autoSpaceDE w:val="0"/>
        <w:autoSpaceDN w:val="0"/>
        <w:adjustRightInd w:val="0"/>
        <w:rPr>
          <w:rFonts w:cs="Arial"/>
          <w:color w:val="000000" w:themeColor="text1"/>
          <w:szCs w:val="22"/>
          <w:lang w:eastAsia="en-GB" w:bidi="ar-SA"/>
        </w:rPr>
      </w:pPr>
    </w:p>
    <w:p w14:paraId="3E74C193" w14:textId="40443D3F" w:rsidR="0033454E" w:rsidRPr="00C63B93" w:rsidRDefault="0033454E" w:rsidP="00041AF7">
      <w:bookmarkStart w:id="43" w:name="_Toc481574643"/>
      <w:r w:rsidRPr="00041AF7">
        <w:rPr>
          <w:b/>
        </w:rPr>
        <w:t xml:space="preserve">Table </w:t>
      </w:r>
      <w:r w:rsidRPr="00041AF7">
        <w:rPr>
          <w:b/>
        </w:rPr>
        <w:fldChar w:fldCharType="begin"/>
      </w:r>
      <w:r w:rsidRPr="00041AF7">
        <w:rPr>
          <w:b/>
        </w:rPr>
        <w:instrText xml:space="preserve"> SEQ Table \* ARABIC </w:instrText>
      </w:r>
      <w:r w:rsidRPr="00041AF7">
        <w:rPr>
          <w:b/>
        </w:rPr>
        <w:fldChar w:fldCharType="separate"/>
      </w:r>
      <w:r w:rsidR="007D76F3" w:rsidRPr="00041AF7">
        <w:rPr>
          <w:b/>
          <w:noProof/>
        </w:rPr>
        <w:t>8</w:t>
      </w:r>
      <w:r w:rsidRPr="00041AF7">
        <w:rPr>
          <w:b/>
        </w:rPr>
        <w:fldChar w:fldCharType="end"/>
      </w:r>
      <w:r w:rsidRPr="00041AF7">
        <w:rPr>
          <w:b/>
        </w:rPr>
        <w:t>: Mean ±</w:t>
      </w:r>
      <w:r w:rsidR="008F34A0">
        <w:rPr>
          <w:b/>
        </w:rPr>
        <w:t xml:space="preserve">SD mineral composition (mg/kg </w:t>
      </w:r>
      <w:r w:rsidRPr="00041AF7">
        <w:rPr>
          <w:b/>
        </w:rPr>
        <w:t>dw) in seed from MS11 and the N90-740 control collected from nine locations</w:t>
      </w:r>
      <w:bookmarkEnd w:id="43"/>
    </w:p>
    <w:p w14:paraId="2032EB23" w14:textId="77777777" w:rsidR="0033454E" w:rsidRPr="00EA10A8" w:rsidRDefault="0033454E" w:rsidP="0033454E">
      <w:pPr>
        <w:rPr>
          <w:color w:val="000000" w:themeColor="text1"/>
          <w:lang w:val="en-AU" w:bidi="ar-SA"/>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1134"/>
        <w:gridCol w:w="1276"/>
        <w:gridCol w:w="1276"/>
        <w:gridCol w:w="951"/>
        <w:gridCol w:w="992"/>
        <w:gridCol w:w="1276"/>
        <w:gridCol w:w="1417"/>
      </w:tblGrid>
      <w:tr w:rsidR="0033454E" w:rsidRPr="00420FFA" w14:paraId="053451F8" w14:textId="77777777" w:rsidTr="00041AF7">
        <w:trPr>
          <w:trHeight w:val="880"/>
          <w:tblHeader/>
          <w:jc w:val="center"/>
        </w:trPr>
        <w:tc>
          <w:tcPr>
            <w:tcW w:w="1219" w:type="dxa"/>
            <w:shd w:val="clear" w:color="auto" w:fill="9BBB59" w:themeFill="accent3"/>
            <w:noWrap/>
            <w:vAlign w:val="center"/>
          </w:tcPr>
          <w:p w14:paraId="5C73632C" w14:textId="63E18DF5" w:rsidR="0033454E" w:rsidRPr="00041AF7" w:rsidRDefault="00F667D2" w:rsidP="0033454E">
            <w:pPr>
              <w:jc w:val="center"/>
              <w:rPr>
                <w:rFonts w:cs="Arial"/>
                <w:b/>
                <w:bCs/>
                <w:color w:val="FFFFFF" w:themeColor="background1"/>
                <w:sz w:val="18"/>
                <w:szCs w:val="18"/>
              </w:rPr>
            </w:pPr>
            <w:r>
              <w:rPr>
                <w:rFonts w:cs="Arial"/>
                <w:b/>
                <w:bCs/>
                <w:color w:val="FFFFFF" w:themeColor="background1"/>
                <w:sz w:val="18"/>
                <w:szCs w:val="18"/>
              </w:rPr>
              <w:t xml:space="preserve">Mineral </w:t>
            </w:r>
          </w:p>
        </w:tc>
        <w:tc>
          <w:tcPr>
            <w:tcW w:w="1134" w:type="dxa"/>
            <w:shd w:val="clear" w:color="auto" w:fill="9BBB59" w:themeFill="accent3"/>
            <w:vAlign w:val="center"/>
          </w:tcPr>
          <w:p w14:paraId="51B0776F" w14:textId="77777777" w:rsidR="0033454E" w:rsidRPr="00041AF7" w:rsidRDefault="0033454E" w:rsidP="0033454E">
            <w:pPr>
              <w:jc w:val="center"/>
              <w:rPr>
                <w:rFonts w:eastAsiaTheme="minorHAnsi" w:cs="Arial"/>
                <w:b/>
                <w:color w:val="FFFFFF" w:themeColor="background1"/>
                <w:sz w:val="18"/>
                <w:szCs w:val="18"/>
              </w:rPr>
            </w:pPr>
            <w:r w:rsidRPr="00041AF7">
              <w:rPr>
                <w:rFonts w:eastAsiaTheme="minorHAnsi" w:cs="Arial"/>
                <w:b/>
                <w:color w:val="FFFFFF" w:themeColor="background1"/>
                <w:sz w:val="18"/>
                <w:szCs w:val="18"/>
              </w:rPr>
              <w:t xml:space="preserve">N90-740 </w:t>
            </w:r>
          </w:p>
          <w:p w14:paraId="79E2BF1A" w14:textId="77777777" w:rsidR="0033454E" w:rsidRPr="00041AF7" w:rsidRDefault="0033454E" w:rsidP="0033454E">
            <w:pPr>
              <w:jc w:val="center"/>
              <w:rPr>
                <w:rFonts w:cs="Arial"/>
                <w:b/>
                <w:bCs/>
                <w:color w:val="FFFFFF" w:themeColor="background1"/>
                <w:sz w:val="18"/>
                <w:szCs w:val="18"/>
              </w:rPr>
            </w:pPr>
            <w:r w:rsidRPr="00041AF7">
              <w:rPr>
                <w:rFonts w:eastAsiaTheme="minorHAnsi" w:cs="Arial"/>
                <w:b/>
                <w:color w:val="FFFFFF" w:themeColor="background1"/>
                <w:sz w:val="18"/>
                <w:szCs w:val="18"/>
              </w:rPr>
              <w:t>(A)</w:t>
            </w:r>
          </w:p>
        </w:tc>
        <w:tc>
          <w:tcPr>
            <w:tcW w:w="1276" w:type="dxa"/>
            <w:shd w:val="clear" w:color="auto" w:fill="9BBB59" w:themeFill="accent3"/>
            <w:vAlign w:val="center"/>
          </w:tcPr>
          <w:p w14:paraId="0ACA4A3A" w14:textId="77777777" w:rsidR="0033454E" w:rsidRPr="00041AF7" w:rsidRDefault="0033454E" w:rsidP="0033454E">
            <w:pPr>
              <w:jc w:val="center"/>
              <w:rPr>
                <w:rFonts w:eastAsiaTheme="minorHAnsi" w:cs="Arial"/>
                <w:b/>
                <w:color w:val="FFFFFF" w:themeColor="background1"/>
                <w:sz w:val="18"/>
                <w:szCs w:val="18"/>
              </w:rPr>
            </w:pPr>
            <w:r w:rsidRPr="00041AF7">
              <w:rPr>
                <w:rFonts w:eastAsiaTheme="minorHAnsi" w:cs="Arial"/>
                <w:b/>
                <w:color w:val="FFFFFF" w:themeColor="background1"/>
                <w:sz w:val="18"/>
                <w:szCs w:val="18"/>
              </w:rPr>
              <w:t>MS11 unsprayed (B)</w:t>
            </w:r>
          </w:p>
        </w:tc>
        <w:tc>
          <w:tcPr>
            <w:tcW w:w="1276" w:type="dxa"/>
            <w:shd w:val="clear" w:color="auto" w:fill="9BBB59" w:themeFill="accent3"/>
            <w:vAlign w:val="center"/>
          </w:tcPr>
          <w:p w14:paraId="0D8E3744"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 xml:space="preserve">MS11 sprayed </w:t>
            </w:r>
          </w:p>
          <w:p w14:paraId="23EAD4EA"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(C)</w:t>
            </w:r>
          </w:p>
        </w:tc>
        <w:tc>
          <w:tcPr>
            <w:tcW w:w="951" w:type="dxa"/>
            <w:shd w:val="clear" w:color="auto" w:fill="9BBB59" w:themeFill="accent3"/>
            <w:vAlign w:val="center"/>
          </w:tcPr>
          <w:p w14:paraId="02F6EB1B"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p-value</w:t>
            </w:r>
          </w:p>
          <w:p w14:paraId="55A612F8" w14:textId="77777777" w:rsidR="0033454E" w:rsidRPr="00041AF7" w:rsidRDefault="0033454E" w:rsidP="0033454E">
            <w:pPr>
              <w:jc w:val="center"/>
              <w:rPr>
                <w:rFonts w:cs="Arial"/>
                <w:b/>
                <w:bCs/>
                <w:color w:val="FFFFFF" w:themeColor="background1"/>
                <w:sz w:val="18"/>
                <w:szCs w:val="18"/>
                <w:vertAlign w:val="superscript"/>
              </w:rPr>
            </w:pPr>
            <w:r w:rsidRPr="00041AF7">
              <w:rPr>
                <w:rFonts w:cs="Arial"/>
                <w:b/>
                <w:bCs/>
                <w:color w:val="FFFFFF" w:themeColor="background1"/>
                <w:sz w:val="18"/>
                <w:szCs w:val="18"/>
              </w:rPr>
              <w:t xml:space="preserve"> A vs B</w:t>
            </w:r>
          </w:p>
        </w:tc>
        <w:tc>
          <w:tcPr>
            <w:tcW w:w="992" w:type="dxa"/>
            <w:shd w:val="clear" w:color="auto" w:fill="9BBB59" w:themeFill="accent3"/>
            <w:vAlign w:val="center"/>
          </w:tcPr>
          <w:p w14:paraId="5F329BB8" w14:textId="77777777" w:rsidR="0033454E" w:rsidRPr="00041AF7" w:rsidRDefault="0033454E" w:rsidP="0033454E">
            <w:pPr>
              <w:jc w:val="center"/>
              <w:rPr>
                <w:rFonts w:cs="Arial"/>
                <w:b/>
                <w:bCs/>
                <w:color w:val="FFFFFF" w:themeColor="background1"/>
                <w:sz w:val="18"/>
                <w:szCs w:val="18"/>
                <w:vertAlign w:val="superscript"/>
              </w:rPr>
            </w:pPr>
            <w:r w:rsidRPr="00041AF7">
              <w:rPr>
                <w:rFonts w:cs="Arial"/>
                <w:b/>
                <w:bCs/>
                <w:color w:val="FFFFFF" w:themeColor="background1"/>
                <w:sz w:val="18"/>
                <w:szCs w:val="18"/>
              </w:rPr>
              <w:t>p-value</w:t>
            </w:r>
            <w:r w:rsidRPr="00041AF7">
              <w:rPr>
                <w:rFonts w:cs="Arial"/>
                <w:b/>
                <w:bCs/>
                <w:color w:val="FFFFFF" w:themeColor="background1"/>
                <w:sz w:val="18"/>
                <w:szCs w:val="18"/>
                <w:vertAlign w:val="superscript"/>
              </w:rPr>
              <w:t>1</w:t>
            </w:r>
          </w:p>
          <w:p w14:paraId="338CDAB4"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A vs C</w:t>
            </w:r>
          </w:p>
        </w:tc>
        <w:tc>
          <w:tcPr>
            <w:tcW w:w="1276" w:type="dxa"/>
            <w:shd w:val="clear" w:color="auto" w:fill="9BBB59" w:themeFill="accent3"/>
            <w:vAlign w:val="center"/>
          </w:tcPr>
          <w:p w14:paraId="3DAF04B5"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95% Tolerance interval</w:t>
            </w:r>
          </w:p>
        </w:tc>
        <w:tc>
          <w:tcPr>
            <w:tcW w:w="1417" w:type="dxa"/>
            <w:shd w:val="clear" w:color="auto" w:fill="9BBB59" w:themeFill="accent3"/>
            <w:vAlign w:val="center"/>
          </w:tcPr>
          <w:p w14:paraId="7E545B02" w14:textId="77777777" w:rsidR="0033454E" w:rsidRPr="00041AF7" w:rsidRDefault="0033454E" w:rsidP="0033454E">
            <w:pPr>
              <w:jc w:val="center"/>
              <w:rPr>
                <w:rFonts w:cs="Arial"/>
                <w:b/>
                <w:bCs/>
                <w:color w:val="FFFFFF" w:themeColor="background1"/>
                <w:sz w:val="18"/>
                <w:szCs w:val="18"/>
              </w:rPr>
            </w:pPr>
            <w:r w:rsidRPr="00041AF7">
              <w:rPr>
                <w:rFonts w:cs="Arial"/>
                <w:b/>
                <w:bCs/>
                <w:color w:val="FFFFFF" w:themeColor="background1"/>
                <w:sz w:val="18"/>
                <w:szCs w:val="18"/>
              </w:rPr>
              <w:t>Combined literature</w:t>
            </w:r>
            <w:r w:rsidRPr="00041AF7">
              <w:rPr>
                <w:rFonts w:cs="Arial"/>
                <w:b/>
                <w:bCs/>
                <w:color w:val="FFFFFF" w:themeColor="background1"/>
                <w:sz w:val="18"/>
                <w:szCs w:val="18"/>
              </w:rPr>
              <w:br/>
              <w:t xml:space="preserve">range </w:t>
            </w:r>
          </w:p>
        </w:tc>
      </w:tr>
      <w:tr w:rsidR="0033454E" w:rsidRPr="00420FFA" w14:paraId="11CD4CA9" w14:textId="77777777" w:rsidTr="00041AF7">
        <w:trPr>
          <w:trHeight w:val="510"/>
          <w:jc w:val="center"/>
        </w:trPr>
        <w:tc>
          <w:tcPr>
            <w:tcW w:w="1219" w:type="dxa"/>
            <w:shd w:val="clear" w:color="auto" w:fill="FFFFFF" w:themeFill="background1"/>
            <w:noWrap/>
            <w:vAlign w:val="center"/>
          </w:tcPr>
          <w:p w14:paraId="43393C55"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Calcium</w:t>
            </w:r>
          </w:p>
        </w:tc>
        <w:tc>
          <w:tcPr>
            <w:tcW w:w="1134" w:type="dxa"/>
            <w:shd w:val="clear" w:color="auto" w:fill="FFFFFF" w:themeFill="background1"/>
            <w:vAlign w:val="center"/>
          </w:tcPr>
          <w:p w14:paraId="05CC6D4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4885±1102</w:t>
            </w:r>
          </w:p>
        </w:tc>
        <w:tc>
          <w:tcPr>
            <w:tcW w:w="1276" w:type="dxa"/>
            <w:shd w:val="clear" w:color="auto" w:fill="FFFFFF" w:themeFill="background1"/>
            <w:vAlign w:val="center"/>
          </w:tcPr>
          <w:p w14:paraId="0E894C4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4651±718</w:t>
            </w:r>
          </w:p>
        </w:tc>
        <w:tc>
          <w:tcPr>
            <w:tcW w:w="1276" w:type="dxa"/>
            <w:shd w:val="clear" w:color="auto" w:fill="FFFFFF" w:themeFill="background1"/>
            <w:vAlign w:val="center"/>
          </w:tcPr>
          <w:p w14:paraId="444039ED"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5227±1361</w:t>
            </w:r>
          </w:p>
        </w:tc>
        <w:tc>
          <w:tcPr>
            <w:tcW w:w="951" w:type="dxa"/>
            <w:shd w:val="clear" w:color="auto" w:fill="FFFFFF" w:themeFill="background1"/>
            <w:vAlign w:val="center"/>
          </w:tcPr>
          <w:p w14:paraId="6EFB15C8"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0.360</w:t>
            </w:r>
          </w:p>
        </w:tc>
        <w:tc>
          <w:tcPr>
            <w:tcW w:w="992" w:type="dxa"/>
            <w:shd w:val="clear" w:color="auto" w:fill="FFFFFF" w:themeFill="background1"/>
            <w:vAlign w:val="center"/>
          </w:tcPr>
          <w:p w14:paraId="317F8DF2"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0.078</w:t>
            </w:r>
          </w:p>
        </w:tc>
        <w:tc>
          <w:tcPr>
            <w:tcW w:w="1276" w:type="dxa"/>
            <w:shd w:val="clear" w:color="auto" w:fill="FFFFFF" w:themeFill="background1"/>
            <w:vAlign w:val="center"/>
          </w:tcPr>
          <w:p w14:paraId="0575532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2359, 7211</w:t>
            </w:r>
          </w:p>
        </w:tc>
        <w:tc>
          <w:tcPr>
            <w:tcW w:w="1417" w:type="dxa"/>
            <w:shd w:val="clear" w:color="auto" w:fill="FFFFFF" w:themeFill="background1"/>
            <w:noWrap/>
            <w:vAlign w:val="center"/>
          </w:tcPr>
          <w:p w14:paraId="010401FF"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3610 – 7280</w:t>
            </w:r>
          </w:p>
        </w:tc>
      </w:tr>
      <w:tr w:rsidR="0033454E" w:rsidRPr="00420FFA" w14:paraId="566843A1" w14:textId="77777777" w:rsidTr="00041AF7">
        <w:trPr>
          <w:trHeight w:val="510"/>
          <w:jc w:val="center"/>
        </w:trPr>
        <w:tc>
          <w:tcPr>
            <w:tcW w:w="1219" w:type="dxa"/>
            <w:shd w:val="clear" w:color="auto" w:fill="EAF1DD" w:themeFill="accent3" w:themeFillTint="33"/>
            <w:noWrap/>
            <w:vAlign w:val="center"/>
          </w:tcPr>
          <w:p w14:paraId="0C02ABA4"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Copper</w:t>
            </w:r>
          </w:p>
        </w:tc>
        <w:tc>
          <w:tcPr>
            <w:tcW w:w="1134" w:type="dxa"/>
            <w:shd w:val="clear" w:color="auto" w:fill="EAF1DD" w:themeFill="accent3" w:themeFillTint="33"/>
            <w:vAlign w:val="center"/>
          </w:tcPr>
          <w:p w14:paraId="5D7F730D"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4.33±0.79</w:t>
            </w:r>
          </w:p>
        </w:tc>
        <w:tc>
          <w:tcPr>
            <w:tcW w:w="1276" w:type="dxa"/>
            <w:shd w:val="clear" w:color="auto" w:fill="EAF1DD" w:themeFill="accent3" w:themeFillTint="33"/>
            <w:vAlign w:val="center"/>
          </w:tcPr>
          <w:p w14:paraId="7D6DB251"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4.29±0.94</w:t>
            </w:r>
          </w:p>
        </w:tc>
        <w:tc>
          <w:tcPr>
            <w:tcW w:w="1276" w:type="dxa"/>
            <w:shd w:val="clear" w:color="auto" w:fill="FDE9D9" w:themeFill="accent6" w:themeFillTint="33"/>
            <w:vAlign w:val="center"/>
          </w:tcPr>
          <w:p w14:paraId="745EC7EE"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4.68±0.91</w:t>
            </w:r>
            <w:r w:rsidRPr="00041AF7">
              <w:rPr>
                <w:rFonts w:cs="Arial"/>
                <w:color w:val="000000" w:themeColor="text1"/>
                <w:sz w:val="18"/>
                <w:szCs w:val="18"/>
                <w:vertAlign w:val="superscript"/>
              </w:rPr>
              <w:t>2</w:t>
            </w:r>
          </w:p>
        </w:tc>
        <w:tc>
          <w:tcPr>
            <w:tcW w:w="951" w:type="dxa"/>
            <w:shd w:val="clear" w:color="auto" w:fill="EAF1DD" w:themeFill="accent3" w:themeFillTint="33"/>
            <w:vAlign w:val="center"/>
          </w:tcPr>
          <w:p w14:paraId="7328F510"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0.966</w:t>
            </w:r>
          </w:p>
        </w:tc>
        <w:tc>
          <w:tcPr>
            <w:tcW w:w="992" w:type="dxa"/>
            <w:shd w:val="clear" w:color="auto" w:fill="EAF1DD" w:themeFill="accent3" w:themeFillTint="33"/>
            <w:vAlign w:val="center"/>
          </w:tcPr>
          <w:p w14:paraId="054E4D8B"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&lt;0.001</w:t>
            </w:r>
          </w:p>
        </w:tc>
        <w:tc>
          <w:tcPr>
            <w:tcW w:w="1276" w:type="dxa"/>
            <w:shd w:val="clear" w:color="auto" w:fill="EAF1DD" w:themeFill="accent3" w:themeFillTint="33"/>
            <w:vAlign w:val="center"/>
          </w:tcPr>
          <w:p w14:paraId="2801822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1.57, 6.27</w:t>
            </w:r>
          </w:p>
        </w:tc>
        <w:tc>
          <w:tcPr>
            <w:tcW w:w="1417" w:type="dxa"/>
            <w:shd w:val="clear" w:color="auto" w:fill="EAF1DD" w:themeFill="accent3" w:themeFillTint="33"/>
            <w:noWrap/>
            <w:vAlign w:val="center"/>
          </w:tcPr>
          <w:p w14:paraId="5CEBA00F"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1.57 – 5.39</w:t>
            </w:r>
          </w:p>
        </w:tc>
      </w:tr>
      <w:tr w:rsidR="0033454E" w:rsidRPr="00420FFA" w14:paraId="7B9187C5" w14:textId="77777777" w:rsidTr="00041AF7">
        <w:trPr>
          <w:trHeight w:val="510"/>
          <w:jc w:val="center"/>
        </w:trPr>
        <w:tc>
          <w:tcPr>
            <w:tcW w:w="1219" w:type="dxa"/>
            <w:shd w:val="clear" w:color="auto" w:fill="FFFFFF" w:themeFill="background1"/>
            <w:noWrap/>
            <w:vAlign w:val="center"/>
          </w:tcPr>
          <w:p w14:paraId="78F74BB4"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Iron</w:t>
            </w:r>
          </w:p>
        </w:tc>
        <w:tc>
          <w:tcPr>
            <w:tcW w:w="1134" w:type="dxa"/>
            <w:shd w:val="clear" w:color="auto" w:fill="FFFFFF" w:themeFill="background1"/>
            <w:vAlign w:val="center"/>
          </w:tcPr>
          <w:p w14:paraId="42203EE3"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131.6±85.1</w:t>
            </w:r>
          </w:p>
        </w:tc>
        <w:tc>
          <w:tcPr>
            <w:tcW w:w="1276" w:type="dxa"/>
            <w:shd w:val="clear" w:color="auto" w:fill="FFFFFF" w:themeFill="background1"/>
            <w:vAlign w:val="center"/>
          </w:tcPr>
          <w:p w14:paraId="6A19661A"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119.6±75.8</w:t>
            </w:r>
          </w:p>
        </w:tc>
        <w:tc>
          <w:tcPr>
            <w:tcW w:w="1276" w:type="dxa"/>
            <w:shd w:val="clear" w:color="auto" w:fill="auto"/>
            <w:vAlign w:val="center"/>
          </w:tcPr>
          <w:p w14:paraId="6B6ED2E7"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158.5±95.6</w:t>
            </w:r>
          </w:p>
        </w:tc>
        <w:tc>
          <w:tcPr>
            <w:tcW w:w="951" w:type="dxa"/>
            <w:shd w:val="clear" w:color="auto" w:fill="FFFFFF" w:themeFill="background1"/>
            <w:vAlign w:val="center"/>
          </w:tcPr>
          <w:p w14:paraId="159DD17F"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0.731</w:t>
            </w:r>
          </w:p>
        </w:tc>
        <w:tc>
          <w:tcPr>
            <w:tcW w:w="992" w:type="dxa"/>
            <w:shd w:val="clear" w:color="auto" w:fill="FFFFFF" w:themeFill="background1"/>
            <w:vAlign w:val="center"/>
          </w:tcPr>
          <w:p w14:paraId="627AA610"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0.264</w:t>
            </w:r>
          </w:p>
        </w:tc>
        <w:tc>
          <w:tcPr>
            <w:tcW w:w="1276" w:type="dxa"/>
            <w:shd w:val="clear" w:color="auto" w:fill="FFFFFF" w:themeFill="background1"/>
            <w:vAlign w:val="center"/>
          </w:tcPr>
          <w:p w14:paraId="1641A51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0, 461.9</w:t>
            </w:r>
          </w:p>
        </w:tc>
        <w:tc>
          <w:tcPr>
            <w:tcW w:w="1417" w:type="dxa"/>
            <w:shd w:val="clear" w:color="auto" w:fill="FFFFFF" w:themeFill="background1"/>
            <w:noWrap/>
            <w:vAlign w:val="center"/>
          </w:tcPr>
          <w:p w14:paraId="6F67C8D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ND – 900.59</w:t>
            </w:r>
          </w:p>
        </w:tc>
      </w:tr>
      <w:tr w:rsidR="0033454E" w:rsidRPr="00420FFA" w14:paraId="59B19AB7" w14:textId="77777777" w:rsidTr="00041AF7">
        <w:trPr>
          <w:trHeight w:val="510"/>
          <w:jc w:val="center"/>
        </w:trPr>
        <w:tc>
          <w:tcPr>
            <w:tcW w:w="1219" w:type="dxa"/>
            <w:shd w:val="clear" w:color="auto" w:fill="EAF1DD" w:themeFill="accent3" w:themeFillTint="33"/>
            <w:noWrap/>
            <w:vAlign w:val="center"/>
          </w:tcPr>
          <w:p w14:paraId="19128755"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Magnesium</w:t>
            </w:r>
          </w:p>
        </w:tc>
        <w:tc>
          <w:tcPr>
            <w:tcW w:w="1134" w:type="dxa"/>
            <w:shd w:val="clear" w:color="auto" w:fill="EAF1DD" w:themeFill="accent3" w:themeFillTint="33"/>
            <w:vAlign w:val="center"/>
          </w:tcPr>
          <w:p w14:paraId="76DE779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3659±438</w:t>
            </w:r>
          </w:p>
        </w:tc>
        <w:tc>
          <w:tcPr>
            <w:tcW w:w="1276" w:type="dxa"/>
            <w:shd w:val="clear" w:color="auto" w:fill="EAF1DD" w:themeFill="accent3" w:themeFillTint="33"/>
            <w:vAlign w:val="center"/>
          </w:tcPr>
          <w:p w14:paraId="4F9F6A32"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3654±413</w:t>
            </w:r>
          </w:p>
        </w:tc>
        <w:tc>
          <w:tcPr>
            <w:tcW w:w="1276" w:type="dxa"/>
            <w:shd w:val="clear" w:color="auto" w:fill="FDE9D9" w:themeFill="accent6" w:themeFillTint="33"/>
            <w:vAlign w:val="center"/>
          </w:tcPr>
          <w:p w14:paraId="31B9E7CB"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3938±560</w:t>
            </w:r>
            <w:r w:rsidRPr="00041AF7">
              <w:rPr>
                <w:rFonts w:cs="Arial"/>
                <w:color w:val="000000" w:themeColor="text1"/>
                <w:sz w:val="18"/>
                <w:szCs w:val="18"/>
                <w:vertAlign w:val="superscript"/>
              </w:rPr>
              <w:t>2</w:t>
            </w:r>
          </w:p>
        </w:tc>
        <w:tc>
          <w:tcPr>
            <w:tcW w:w="951" w:type="dxa"/>
            <w:shd w:val="clear" w:color="auto" w:fill="EAF1DD" w:themeFill="accent3" w:themeFillTint="33"/>
            <w:vAlign w:val="center"/>
          </w:tcPr>
          <w:p w14:paraId="43FE123D"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0.126</w:t>
            </w:r>
          </w:p>
        </w:tc>
        <w:tc>
          <w:tcPr>
            <w:tcW w:w="992" w:type="dxa"/>
            <w:shd w:val="clear" w:color="auto" w:fill="EAF1DD" w:themeFill="accent3" w:themeFillTint="33"/>
            <w:vAlign w:val="center"/>
          </w:tcPr>
          <w:p w14:paraId="050E908C"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&lt;0.001</w:t>
            </w:r>
          </w:p>
        </w:tc>
        <w:tc>
          <w:tcPr>
            <w:tcW w:w="1276" w:type="dxa"/>
            <w:shd w:val="clear" w:color="auto" w:fill="EAF1DD" w:themeFill="accent3" w:themeFillTint="33"/>
            <w:vAlign w:val="center"/>
          </w:tcPr>
          <w:p w14:paraId="1ACBEAEE"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2126, 5060</w:t>
            </w:r>
          </w:p>
        </w:tc>
        <w:tc>
          <w:tcPr>
            <w:tcW w:w="1417" w:type="dxa"/>
            <w:shd w:val="clear" w:color="auto" w:fill="EAF1DD" w:themeFill="accent3" w:themeFillTint="33"/>
            <w:noWrap/>
            <w:vAlign w:val="center"/>
          </w:tcPr>
          <w:p w14:paraId="1C007C6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2770 –4270</w:t>
            </w:r>
          </w:p>
        </w:tc>
      </w:tr>
      <w:tr w:rsidR="0033454E" w:rsidRPr="00420FFA" w14:paraId="6CBAC1C0" w14:textId="77777777" w:rsidTr="00041AF7">
        <w:trPr>
          <w:trHeight w:val="510"/>
          <w:jc w:val="center"/>
        </w:trPr>
        <w:tc>
          <w:tcPr>
            <w:tcW w:w="1219" w:type="dxa"/>
            <w:shd w:val="clear" w:color="auto" w:fill="FFFFFF" w:themeFill="background1"/>
            <w:noWrap/>
            <w:vAlign w:val="center"/>
          </w:tcPr>
          <w:p w14:paraId="0D893EC4"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Manganese</w:t>
            </w:r>
          </w:p>
        </w:tc>
        <w:tc>
          <w:tcPr>
            <w:tcW w:w="1134" w:type="dxa"/>
            <w:shd w:val="clear" w:color="auto" w:fill="FFFFFF" w:themeFill="background1"/>
            <w:vAlign w:val="center"/>
          </w:tcPr>
          <w:p w14:paraId="6539A856"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39.4±7.5</w:t>
            </w:r>
          </w:p>
        </w:tc>
        <w:tc>
          <w:tcPr>
            <w:tcW w:w="1276" w:type="dxa"/>
            <w:shd w:val="clear" w:color="auto" w:fill="FFFFFF" w:themeFill="background1"/>
            <w:vAlign w:val="center"/>
          </w:tcPr>
          <w:p w14:paraId="6FFBE1DA"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38.1±6.7</w:t>
            </w:r>
          </w:p>
        </w:tc>
        <w:tc>
          <w:tcPr>
            <w:tcW w:w="1276" w:type="dxa"/>
            <w:shd w:val="clear" w:color="auto" w:fill="auto"/>
            <w:vAlign w:val="center"/>
          </w:tcPr>
          <w:p w14:paraId="2D1456A4"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38.4±5.4</w:t>
            </w:r>
          </w:p>
        </w:tc>
        <w:tc>
          <w:tcPr>
            <w:tcW w:w="951" w:type="dxa"/>
            <w:shd w:val="clear" w:color="auto" w:fill="FFFFFF" w:themeFill="background1"/>
            <w:vAlign w:val="center"/>
          </w:tcPr>
          <w:p w14:paraId="004CA162"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0.675</w:t>
            </w:r>
          </w:p>
        </w:tc>
        <w:tc>
          <w:tcPr>
            <w:tcW w:w="992" w:type="dxa"/>
            <w:shd w:val="clear" w:color="auto" w:fill="FFFFFF" w:themeFill="background1"/>
            <w:vAlign w:val="center"/>
          </w:tcPr>
          <w:p w14:paraId="16D7CAE0"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0.148</w:t>
            </w:r>
          </w:p>
        </w:tc>
        <w:tc>
          <w:tcPr>
            <w:tcW w:w="1276" w:type="dxa"/>
            <w:shd w:val="clear" w:color="auto" w:fill="FFFFFF" w:themeFill="background1"/>
            <w:vAlign w:val="center"/>
          </w:tcPr>
          <w:p w14:paraId="6F8EB58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20.3, 60.5</w:t>
            </w:r>
          </w:p>
        </w:tc>
        <w:tc>
          <w:tcPr>
            <w:tcW w:w="1417" w:type="dxa"/>
            <w:shd w:val="clear" w:color="auto" w:fill="FFFFFF" w:themeFill="background1"/>
            <w:noWrap/>
            <w:vAlign w:val="center"/>
          </w:tcPr>
          <w:p w14:paraId="50D73FE3"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33.95 – 65.20</w:t>
            </w:r>
          </w:p>
        </w:tc>
      </w:tr>
      <w:tr w:rsidR="0033454E" w:rsidRPr="00420FFA" w14:paraId="2CB989DB" w14:textId="77777777" w:rsidTr="00041AF7">
        <w:trPr>
          <w:trHeight w:val="510"/>
          <w:jc w:val="center"/>
        </w:trPr>
        <w:tc>
          <w:tcPr>
            <w:tcW w:w="1219" w:type="dxa"/>
            <w:shd w:val="clear" w:color="auto" w:fill="EAF1DD" w:themeFill="accent3" w:themeFillTint="33"/>
            <w:noWrap/>
            <w:vAlign w:val="center"/>
          </w:tcPr>
          <w:p w14:paraId="53A7DE3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Phosphorus</w:t>
            </w:r>
          </w:p>
        </w:tc>
        <w:tc>
          <w:tcPr>
            <w:tcW w:w="1134" w:type="dxa"/>
            <w:shd w:val="clear" w:color="auto" w:fill="EAF1DD" w:themeFill="accent3" w:themeFillTint="33"/>
            <w:vAlign w:val="center"/>
          </w:tcPr>
          <w:p w14:paraId="6A056475"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7947±1450</w:t>
            </w:r>
          </w:p>
        </w:tc>
        <w:tc>
          <w:tcPr>
            <w:tcW w:w="1276" w:type="dxa"/>
            <w:shd w:val="clear" w:color="auto" w:fill="EAF1DD" w:themeFill="accent3" w:themeFillTint="33"/>
            <w:vAlign w:val="center"/>
          </w:tcPr>
          <w:p w14:paraId="6BEBD356"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8219±1540</w:t>
            </w:r>
          </w:p>
        </w:tc>
        <w:tc>
          <w:tcPr>
            <w:tcW w:w="1276" w:type="dxa"/>
            <w:shd w:val="clear" w:color="auto" w:fill="FDE9D9" w:themeFill="accent6" w:themeFillTint="33"/>
            <w:vAlign w:val="center"/>
          </w:tcPr>
          <w:p w14:paraId="51178D97"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8674±1253</w:t>
            </w:r>
            <w:r w:rsidRPr="00041AF7">
              <w:rPr>
                <w:rFonts w:cs="Arial"/>
                <w:color w:val="000000" w:themeColor="text1"/>
                <w:sz w:val="18"/>
                <w:szCs w:val="18"/>
                <w:vertAlign w:val="superscript"/>
              </w:rPr>
              <w:t>2</w:t>
            </w:r>
          </w:p>
        </w:tc>
        <w:tc>
          <w:tcPr>
            <w:tcW w:w="951" w:type="dxa"/>
            <w:shd w:val="clear" w:color="auto" w:fill="EAF1DD" w:themeFill="accent3" w:themeFillTint="33"/>
            <w:vAlign w:val="center"/>
          </w:tcPr>
          <w:p w14:paraId="0F9FC3B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0.450</w:t>
            </w:r>
          </w:p>
        </w:tc>
        <w:tc>
          <w:tcPr>
            <w:tcW w:w="992" w:type="dxa"/>
            <w:shd w:val="clear" w:color="auto" w:fill="EAF1DD" w:themeFill="accent3" w:themeFillTint="33"/>
            <w:vAlign w:val="center"/>
          </w:tcPr>
          <w:p w14:paraId="7F24A9A8"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0.003</w:t>
            </w:r>
          </w:p>
        </w:tc>
        <w:tc>
          <w:tcPr>
            <w:tcW w:w="1276" w:type="dxa"/>
            <w:shd w:val="clear" w:color="auto" w:fill="EAF1DD" w:themeFill="accent3" w:themeFillTint="33"/>
            <w:vAlign w:val="center"/>
          </w:tcPr>
          <w:p w14:paraId="3C8D923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2316, 13044</w:t>
            </w:r>
          </w:p>
        </w:tc>
        <w:tc>
          <w:tcPr>
            <w:tcW w:w="1417" w:type="dxa"/>
            <w:shd w:val="clear" w:color="auto" w:fill="EAF1DD" w:themeFill="accent3" w:themeFillTint="33"/>
            <w:noWrap/>
            <w:vAlign w:val="center"/>
          </w:tcPr>
          <w:p w14:paraId="1E2FD98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5400 – 8900</w:t>
            </w:r>
          </w:p>
        </w:tc>
      </w:tr>
      <w:tr w:rsidR="0033454E" w:rsidRPr="00420FFA" w14:paraId="25930308" w14:textId="77777777" w:rsidTr="00041AF7">
        <w:trPr>
          <w:trHeight w:val="510"/>
          <w:jc w:val="center"/>
        </w:trPr>
        <w:tc>
          <w:tcPr>
            <w:tcW w:w="1219" w:type="dxa"/>
            <w:shd w:val="clear" w:color="auto" w:fill="FFFFFF" w:themeFill="background1"/>
            <w:noWrap/>
            <w:vAlign w:val="center"/>
          </w:tcPr>
          <w:p w14:paraId="64EA60A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Potassium</w:t>
            </w:r>
          </w:p>
        </w:tc>
        <w:tc>
          <w:tcPr>
            <w:tcW w:w="1134" w:type="dxa"/>
            <w:shd w:val="clear" w:color="auto" w:fill="FFFFFF" w:themeFill="background1"/>
            <w:vAlign w:val="center"/>
          </w:tcPr>
          <w:p w14:paraId="0E8B25E3"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8577±1374</w:t>
            </w:r>
          </w:p>
        </w:tc>
        <w:tc>
          <w:tcPr>
            <w:tcW w:w="1276" w:type="dxa"/>
            <w:shd w:val="clear" w:color="auto" w:fill="FFFFFF" w:themeFill="background1"/>
            <w:vAlign w:val="center"/>
          </w:tcPr>
          <w:p w14:paraId="0B393DED"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8865±1424</w:t>
            </w:r>
          </w:p>
        </w:tc>
        <w:tc>
          <w:tcPr>
            <w:tcW w:w="1276" w:type="dxa"/>
            <w:shd w:val="clear" w:color="auto" w:fill="FDE9D9" w:themeFill="accent6" w:themeFillTint="33"/>
            <w:vAlign w:val="center"/>
          </w:tcPr>
          <w:p w14:paraId="2E095303"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9516±1667</w:t>
            </w:r>
            <w:r w:rsidRPr="00041AF7">
              <w:rPr>
                <w:rFonts w:cs="Arial"/>
                <w:color w:val="000000" w:themeColor="text1"/>
                <w:sz w:val="18"/>
                <w:szCs w:val="18"/>
                <w:vertAlign w:val="superscript"/>
              </w:rPr>
              <w:t>2</w:t>
            </w:r>
          </w:p>
        </w:tc>
        <w:tc>
          <w:tcPr>
            <w:tcW w:w="951" w:type="dxa"/>
            <w:shd w:val="clear" w:color="auto" w:fill="FFFFFF" w:themeFill="background1"/>
            <w:vAlign w:val="center"/>
          </w:tcPr>
          <w:p w14:paraId="36C2707C"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0.144</w:t>
            </w:r>
          </w:p>
        </w:tc>
        <w:tc>
          <w:tcPr>
            <w:tcW w:w="992" w:type="dxa"/>
            <w:shd w:val="clear" w:color="auto" w:fill="FFFFFF" w:themeFill="background1"/>
            <w:vAlign w:val="center"/>
          </w:tcPr>
          <w:p w14:paraId="5C620915"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&lt;0.001</w:t>
            </w:r>
          </w:p>
        </w:tc>
        <w:tc>
          <w:tcPr>
            <w:tcW w:w="1276" w:type="dxa"/>
            <w:shd w:val="clear" w:color="auto" w:fill="FFFFFF" w:themeFill="background1"/>
            <w:vAlign w:val="center"/>
          </w:tcPr>
          <w:p w14:paraId="380341C5"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3672, 12,636</w:t>
            </w:r>
          </w:p>
        </w:tc>
        <w:tc>
          <w:tcPr>
            <w:tcW w:w="1417" w:type="dxa"/>
            <w:shd w:val="clear" w:color="auto" w:fill="FFFFFF" w:themeFill="background1"/>
            <w:noWrap/>
            <w:vAlign w:val="center"/>
          </w:tcPr>
          <w:p w14:paraId="6FFF05E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7020 – 10,200</w:t>
            </w:r>
          </w:p>
        </w:tc>
      </w:tr>
      <w:tr w:rsidR="0033454E" w:rsidRPr="00420FFA" w14:paraId="16659713" w14:textId="77777777" w:rsidTr="00041AF7">
        <w:trPr>
          <w:trHeight w:val="510"/>
          <w:jc w:val="center"/>
        </w:trPr>
        <w:tc>
          <w:tcPr>
            <w:tcW w:w="1219" w:type="dxa"/>
            <w:shd w:val="clear" w:color="auto" w:fill="EAF1DD" w:themeFill="accent3" w:themeFillTint="33"/>
            <w:noWrap/>
            <w:vAlign w:val="center"/>
          </w:tcPr>
          <w:p w14:paraId="13E80AB9"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Zinc</w:t>
            </w:r>
          </w:p>
        </w:tc>
        <w:tc>
          <w:tcPr>
            <w:tcW w:w="1134" w:type="dxa"/>
            <w:shd w:val="clear" w:color="auto" w:fill="EAF1DD" w:themeFill="accent3" w:themeFillTint="33"/>
            <w:vAlign w:val="center"/>
          </w:tcPr>
          <w:p w14:paraId="47F01341"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48.4±8.8</w:t>
            </w:r>
          </w:p>
        </w:tc>
        <w:tc>
          <w:tcPr>
            <w:tcW w:w="1276" w:type="dxa"/>
            <w:shd w:val="clear" w:color="auto" w:fill="EAF1DD" w:themeFill="accent3" w:themeFillTint="33"/>
            <w:vAlign w:val="center"/>
          </w:tcPr>
          <w:p w14:paraId="601F795B"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50.2±9.6</w:t>
            </w:r>
          </w:p>
        </w:tc>
        <w:tc>
          <w:tcPr>
            <w:tcW w:w="1276" w:type="dxa"/>
            <w:shd w:val="clear" w:color="auto" w:fill="FDE9D9" w:themeFill="accent6" w:themeFillTint="33"/>
            <w:vAlign w:val="center"/>
          </w:tcPr>
          <w:p w14:paraId="327F829C" w14:textId="77777777" w:rsidR="0033454E" w:rsidRPr="00041AF7" w:rsidRDefault="0033454E" w:rsidP="0033454E">
            <w:pPr>
              <w:jc w:val="center"/>
              <w:rPr>
                <w:rFonts w:cs="Arial"/>
                <w:color w:val="000000" w:themeColor="text1"/>
                <w:sz w:val="18"/>
                <w:szCs w:val="18"/>
                <w:vertAlign w:val="superscript"/>
              </w:rPr>
            </w:pPr>
            <w:r w:rsidRPr="00041AF7">
              <w:rPr>
                <w:rFonts w:cs="Arial"/>
                <w:color w:val="000000" w:themeColor="text1"/>
                <w:sz w:val="18"/>
                <w:szCs w:val="18"/>
              </w:rPr>
              <w:t>54.1±9.3</w:t>
            </w:r>
            <w:r w:rsidRPr="00041AF7">
              <w:rPr>
                <w:rFonts w:cs="Arial"/>
                <w:color w:val="000000" w:themeColor="text1"/>
                <w:sz w:val="18"/>
                <w:szCs w:val="18"/>
                <w:vertAlign w:val="superscript"/>
              </w:rPr>
              <w:t>2</w:t>
            </w:r>
          </w:p>
        </w:tc>
        <w:tc>
          <w:tcPr>
            <w:tcW w:w="951" w:type="dxa"/>
            <w:shd w:val="clear" w:color="auto" w:fill="EAF1DD" w:themeFill="accent3" w:themeFillTint="33"/>
            <w:vAlign w:val="center"/>
          </w:tcPr>
          <w:p w14:paraId="60C25963"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0.211</w:t>
            </w:r>
          </w:p>
        </w:tc>
        <w:tc>
          <w:tcPr>
            <w:tcW w:w="992" w:type="dxa"/>
            <w:shd w:val="clear" w:color="auto" w:fill="EAF1DD" w:themeFill="accent3" w:themeFillTint="33"/>
            <w:vAlign w:val="center"/>
          </w:tcPr>
          <w:p w14:paraId="1AEC0615" w14:textId="77777777" w:rsidR="0033454E" w:rsidRPr="00041AF7" w:rsidRDefault="0033454E" w:rsidP="0033454E">
            <w:pPr>
              <w:jc w:val="center"/>
              <w:rPr>
                <w:rFonts w:cs="Arial"/>
                <w:b/>
                <w:color w:val="000000" w:themeColor="text1"/>
                <w:sz w:val="18"/>
                <w:szCs w:val="18"/>
                <w:u w:val="single"/>
              </w:rPr>
            </w:pPr>
            <w:r w:rsidRPr="00041AF7">
              <w:rPr>
                <w:rFonts w:cs="Arial"/>
                <w:b/>
                <w:color w:val="000000" w:themeColor="text1"/>
                <w:sz w:val="18"/>
                <w:szCs w:val="18"/>
                <w:u w:val="single"/>
              </w:rPr>
              <w:t>&lt;0.001</w:t>
            </w:r>
          </w:p>
        </w:tc>
        <w:tc>
          <w:tcPr>
            <w:tcW w:w="1276" w:type="dxa"/>
            <w:shd w:val="clear" w:color="auto" w:fill="EAF1DD" w:themeFill="accent3" w:themeFillTint="33"/>
            <w:vAlign w:val="center"/>
          </w:tcPr>
          <w:p w14:paraId="6BB2024F"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21.8, 70.3</w:t>
            </w:r>
          </w:p>
        </w:tc>
        <w:tc>
          <w:tcPr>
            <w:tcW w:w="1417" w:type="dxa"/>
            <w:shd w:val="clear" w:color="auto" w:fill="EAF1DD" w:themeFill="accent3" w:themeFillTint="33"/>
            <w:noWrap/>
            <w:vAlign w:val="center"/>
          </w:tcPr>
          <w:p w14:paraId="270F70C2" w14:textId="77777777" w:rsidR="0033454E" w:rsidRPr="00041AF7" w:rsidRDefault="0033454E" w:rsidP="0033454E">
            <w:pPr>
              <w:jc w:val="center"/>
              <w:rPr>
                <w:rFonts w:cs="Arial"/>
                <w:color w:val="000000" w:themeColor="text1"/>
                <w:sz w:val="18"/>
                <w:szCs w:val="18"/>
              </w:rPr>
            </w:pPr>
            <w:r w:rsidRPr="00041AF7">
              <w:rPr>
                <w:rFonts w:cs="Arial"/>
                <w:color w:val="000000" w:themeColor="text1"/>
                <w:sz w:val="18"/>
                <w:szCs w:val="18"/>
              </w:rPr>
              <w:t>ND – 122.362</w:t>
            </w:r>
          </w:p>
        </w:tc>
      </w:tr>
    </w:tbl>
    <w:p w14:paraId="52616A26" w14:textId="77777777" w:rsidR="0033454E" w:rsidRPr="00F50D6A" w:rsidRDefault="0033454E" w:rsidP="0033454E">
      <w:pPr>
        <w:autoSpaceDE w:val="0"/>
        <w:autoSpaceDN w:val="0"/>
        <w:adjustRightInd w:val="0"/>
        <w:rPr>
          <w:color w:val="000000" w:themeColor="text1"/>
          <w:sz w:val="18"/>
          <w:szCs w:val="18"/>
        </w:rPr>
      </w:pPr>
      <w:r w:rsidRPr="00F50D6A">
        <w:rPr>
          <w:color w:val="000000" w:themeColor="text1"/>
          <w:sz w:val="18"/>
          <w:szCs w:val="18"/>
          <w:vertAlign w:val="superscript"/>
        </w:rPr>
        <w:t>1</w:t>
      </w:r>
      <w:r w:rsidRPr="00F50D6A">
        <w:rPr>
          <w:color w:val="000000" w:themeColor="text1"/>
          <w:sz w:val="18"/>
          <w:szCs w:val="18"/>
        </w:rPr>
        <w:t xml:space="preserve"> p-values indicating significant differences are bolded and underlined.</w:t>
      </w:r>
    </w:p>
    <w:p w14:paraId="7E32211F" w14:textId="35E06BC5" w:rsidR="0033454E" w:rsidRDefault="0033454E" w:rsidP="0033454E">
      <w:pPr>
        <w:autoSpaceDE w:val="0"/>
        <w:autoSpaceDN w:val="0"/>
        <w:adjustRightInd w:val="0"/>
        <w:ind w:left="284" w:hanging="284"/>
        <w:rPr>
          <w:rFonts w:cs="Arial"/>
          <w:color w:val="000000" w:themeColor="text1"/>
          <w:sz w:val="20"/>
          <w:szCs w:val="20"/>
        </w:rPr>
      </w:pPr>
      <w:r w:rsidRPr="00F50D6A">
        <w:rPr>
          <w:color w:val="000000" w:themeColor="text1"/>
          <w:sz w:val="20"/>
          <w:szCs w:val="20"/>
          <w:vertAlign w:val="superscript"/>
        </w:rPr>
        <w:t>2</w:t>
      </w:r>
      <w:r w:rsidRPr="00F50D6A">
        <w:rPr>
          <w:rFonts w:cs="Arial"/>
          <w:color w:val="000000" w:themeColor="text1"/>
          <w:sz w:val="20"/>
          <w:szCs w:val="20"/>
        </w:rPr>
        <w:t xml:space="preserve"> </w:t>
      </w:r>
      <w:r w:rsidR="00041AF7" w:rsidRPr="006B3E6D">
        <w:rPr>
          <w:rFonts w:cs="Arial"/>
          <w:color w:val="000000" w:themeColor="text1"/>
          <w:sz w:val="18"/>
          <w:szCs w:val="18"/>
        </w:rPr>
        <w:t>orange shading represents MS11 mean</w:t>
      </w:r>
      <w:r w:rsidR="00041AF7">
        <w:rPr>
          <w:rFonts w:cs="Arial"/>
          <w:color w:val="000000" w:themeColor="text1"/>
          <w:sz w:val="18"/>
          <w:szCs w:val="18"/>
        </w:rPr>
        <w:t>s that are significantly higher than the N90-740 means</w:t>
      </w:r>
      <w:r w:rsidR="00041AF7">
        <w:rPr>
          <w:rFonts w:cs="Arial"/>
          <w:color w:val="000000" w:themeColor="text1"/>
          <w:sz w:val="20"/>
          <w:szCs w:val="20"/>
        </w:rPr>
        <w:t>.</w:t>
      </w:r>
    </w:p>
    <w:p w14:paraId="642DA2FD" w14:textId="2746E4B9" w:rsidR="0033454E" w:rsidRPr="001B5342" w:rsidRDefault="00283E37" w:rsidP="0033454E">
      <w:pPr>
        <w:pStyle w:val="Heading3"/>
      </w:pPr>
      <w:r>
        <w:t>5.3.5</w:t>
      </w:r>
      <w:r w:rsidR="0033454E" w:rsidRPr="001B5342">
        <w:tab/>
        <w:t>Vitamins</w:t>
      </w:r>
    </w:p>
    <w:p w14:paraId="096DF83D" w14:textId="77777777" w:rsidR="00283E37" w:rsidRDefault="0033454E" w:rsidP="0033454E">
      <w:pPr>
        <w:widowControl/>
        <w:autoSpaceDE w:val="0"/>
        <w:autoSpaceDN w:val="0"/>
        <w:adjustRightInd w:val="0"/>
        <w:rPr>
          <w:rFonts w:cs="Arial"/>
          <w:color w:val="000000" w:themeColor="text1"/>
          <w:szCs w:val="22"/>
        </w:rPr>
      </w:pPr>
      <w:r w:rsidRPr="00BF13E2">
        <w:rPr>
          <w:rFonts w:cs="Arial"/>
          <w:color w:val="000000" w:themeColor="text1"/>
        </w:rPr>
        <w:t>Levels of three tocopherols and Vitamin K were measured</w:t>
      </w:r>
      <w:r w:rsidRPr="00A36476">
        <w:rPr>
          <w:rFonts w:cs="Arial"/>
          <w:color w:val="000000" w:themeColor="text1"/>
        </w:rPr>
        <w:t xml:space="preserve">. </w:t>
      </w:r>
      <w:r w:rsidRPr="00A36476">
        <w:rPr>
          <w:rFonts w:eastAsia="Batang" w:cs="Arial"/>
          <w:bCs/>
          <w:color w:val="000000" w:themeColor="text1"/>
          <w:szCs w:val="22"/>
        </w:rPr>
        <w:t>β-tocopherol</w:t>
      </w:r>
      <w:r w:rsidRPr="00BF13E2">
        <w:rPr>
          <w:rFonts w:eastAsia="Batang" w:cs="Arial"/>
          <w:bCs/>
          <w:color w:val="000000" w:themeColor="text1"/>
          <w:szCs w:val="22"/>
        </w:rPr>
        <w:t xml:space="preserve"> was below the LOQ in many samples and was excluded from the analysis.</w:t>
      </w:r>
      <w:r>
        <w:rPr>
          <w:rFonts w:eastAsia="Batang" w:cs="Arial"/>
          <w:bCs/>
          <w:color w:val="000000" w:themeColor="text1"/>
          <w:szCs w:val="22"/>
        </w:rPr>
        <w:t xml:space="preserve"> </w:t>
      </w:r>
      <w:r w:rsidRPr="00BF13E2">
        <w:rPr>
          <w:rFonts w:eastAsia="Batang" w:cs="Arial"/>
          <w:bCs/>
          <w:color w:val="000000" w:themeColor="text1"/>
          <w:szCs w:val="22"/>
        </w:rPr>
        <w:t xml:space="preserve">The means for the remaining vitamins are given </w:t>
      </w:r>
      <w:r w:rsidRPr="004F4FDA">
        <w:rPr>
          <w:rFonts w:eastAsia="Batang" w:cs="Arial"/>
          <w:bCs/>
          <w:color w:val="000000" w:themeColor="text1"/>
          <w:szCs w:val="22"/>
        </w:rPr>
        <w:t xml:space="preserve">in </w:t>
      </w:r>
      <w:r w:rsidRPr="004F4FDA">
        <w:rPr>
          <w:rFonts w:cs="Arial"/>
          <w:color w:val="000000" w:themeColor="text1"/>
        </w:rPr>
        <w:t xml:space="preserve">Table 9. </w:t>
      </w:r>
      <w:r w:rsidRPr="004F4FDA">
        <w:rPr>
          <w:rFonts w:cs="Arial"/>
          <w:color w:val="000000" w:themeColor="text1"/>
          <w:szCs w:val="22"/>
        </w:rPr>
        <w:t>There was</w:t>
      </w:r>
      <w:r w:rsidRPr="00BF13E2">
        <w:rPr>
          <w:rFonts w:cs="Arial"/>
          <w:color w:val="000000" w:themeColor="text1"/>
          <w:szCs w:val="22"/>
        </w:rPr>
        <w:t xml:space="preserve"> no significant difference between the means for unsprayed MS11 and those for the control for </w:t>
      </w:r>
      <w:r>
        <w:rPr>
          <w:rFonts w:cs="Arial"/>
          <w:color w:val="000000" w:themeColor="text1"/>
          <w:szCs w:val="22"/>
        </w:rPr>
        <w:t>any vitamin</w:t>
      </w:r>
      <w:r w:rsidRPr="00BF13E2">
        <w:rPr>
          <w:rFonts w:cs="Arial"/>
          <w:color w:val="000000" w:themeColor="text1"/>
          <w:szCs w:val="22"/>
        </w:rPr>
        <w:t xml:space="preserve"> measured. For sprayed MS11, levels of </w:t>
      </w:r>
      <w:r>
        <w:rPr>
          <w:rFonts w:cs="Arial"/>
          <w:color w:val="000000" w:themeColor="text1"/>
          <w:szCs w:val="22"/>
        </w:rPr>
        <w:t>γ-</w:t>
      </w:r>
      <w:r w:rsidRPr="007461F5">
        <w:rPr>
          <w:rFonts w:cs="Arial"/>
          <w:color w:val="000000" w:themeColor="text1"/>
          <w:szCs w:val="22"/>
        </w:rPr>
        <w:t xml:space="preserve">tocopherol and Vitamin K were significantly higher than those in the control. </w:t>
      </w:r>
      <w:r w:rsidR="00283E37">
        <w:rPr>
          <w:rFonts w:cs="Arial"/>
          <w:color w:val="000000" w:themeColor="text1"/>
          <w:szCs w:val="22"/>
        </w:rPr>
        <w:br w:type="page"/>
      </w:r>
    </w:p>
    <w:p w14:paraId="45D29FFF" w14:textId="1F689021" w:rsidR="0033454E" w:rsidRPr="007461F5" w:rsidRDefault="0033454E" w:rsidP="0033454E">
      <w:pPr>
        <w:widowControl/>
        <w:autoSpaceDE w:val="0"/>
        <w:autoSpaceDN w:val="0"/>
        <w:adjustRightInd w:val="0"/>
        <w:rPr>
          <w:rFonts w:cs="Arial"/>
          <w:color w:val="000000" w:themeColor="text1"/>
          <w:szCs w:val="22"/>
          <w:lang w:eastAsia="en-GB" w:bidi="ar-SA"/>
        </w:rPr>
      </w:pPr>
      <w:r w:rsidRPr="007461F5">
        <w:rPr>
          <w:rFonts w:cs="Arial"/>
          <w:color w:val="000000" w:themeColor="text1"/>
          <w:szCs w:val="22"/>
        </w:rPr>
        <w:lastRenderedPageBreak/>
        <w:t xml:space="preserve">However, </w:t>
      </w:r>
      <w:r w:rsidRPr="007461F5">
        <w:rPr>
          <w:rFonts w:cs="Arial"/>
          <w:color w:val="000000" w:themeColor="text1"/>
          <w:szCs w:val="22"/>
          <w:lang w:eastAsia="en-GB" w:bidi="ar-SA"/>
        </w:rPr>
        <w:t>the means for all entries, for all minerals, were within the tolerance interval of the reference varieties.</w:t>
      </w:r>
    </w:p>
    <w:p w14:paraId="05299159" w14:textId="751B1D52" w:rsidR="00BD2330" w:rsidRDefault="00BD2330">
      <w:pPr>
        <w:widowControl/>
        <w:rPr>
          <w:b/>
          <w:bCs/>
          <w:color w:val="000000" w:themeColor="text1"/>
          <w:szCs w:val="22"/>
          <w:lang w:val="en-AU" w:bidi="ar-SA"/>
        </w:rPr>
      </w:pPr>
    </w:p>
    <w:p w14:paraId="26B9B66F" w14:textId="7B791EF5" w:rsidR="0033454E" w:rsidRPr="007461F5" w:rsidRDefault="0033454E" w:rsidP="00A81CB6">
      <w:pPr>
        <w:pStyle w:val="Caption"/>
        <w:keepNext/>
        <w:rPr>
          <w:color w:val="000000" w:themeColor="text1"/>
          <w:sz w:val="22"/>
          <w:szCs w:val="22"/>
        </w:rPr>
      </w:pPr>
      <w:bookmarkStart w:id="44" w:name="_Toc481574644"/>
      <w:r w:rsidRPr="007461F5">
        <w:rPr>
          <w:color w:val="000000" w:themeColor="text1"/>
          <w:sz w:val="22"/>
          <w:szCs w:val="22"/>
        </w:rPr>
        <w:t xml:space="preserve">Table </w:t>
      </w:r>
      <w:r w:rsidRPr="007461F5">
        <w:rPr>
          <w:color w:val="000000" w:themeColor="text1"/>
          <w:sz w:val="22"/>
          <w:szCs w:val="22"/>
        </w:rPr>
        <w:fldChar w:fldCharType="begin"/>
      </w:r>
      <w:r w:rsidRPr="007461F5">
        <w:rPr>
          <w:color w:val="000000" w:themeColor="text1"/>
          <w:sz w:val="22"/>
          <w:szCs w:val="22"/>
        </w:rPr>
        <w:instrText xml:space="preserve"> SEQ Table \* ARABIC </w:instrText>
      </w:r>
      <w:r w:rsidRPr="007461F5">
        <w:rPr>
          <w:color w:val="000000" w:themeColor="text1"/>
          <w:sz w:val="22"/>
          <w:szCs w:val="22"/>
        </w:rPr>
        <w:fldChar w:fldCharType="separate"/>
      </w:r>
      <w:r w:rsidR="007D76F3">
        <w:rPr>
          <w:noProof/>
          <w:color w:val="000000" w:themeColor="text1"/>
          <w:sz w:val="22"/>
          <w:szCs w:val="22"/>
        </w:rPr>
        <w:t>9</w:t>
      </w:r>
      <w:r w:rsidRPr="007461F5">
        <w:rPr>
          <w:color w:val="000000" w:themeColor="text1"/>
          <w:sz w:val="22"/>
          <w:szCs w:val="22"/>
        </w:rPr>
        <w:fldChar w:fldCharType="end"/>
      </w:r>
      <w:r w:rsidRPr="007461F5">
        <w:rPr>
          <w:color w:val="000000" w:themeColor="text1"/>
          <w:sz w:val="22"/>
          <w:szCs w:val="22"/>
        </w:rPr>
        <w:t xml:space="preserve">: Mean ±SD vitamin composition (mg/kg dw) in seed from MS11 and the </w:t>
      </w:r>
      <w:r w:rsidR="004A7168">
        <w:rPr>
          <w:color w:val="000000" w:themeColor="text1"/>
          <w:sz w:val="22"/>
          <w:szCs w:val="22"/>
        </w:rPr>
        <w:t xml:space="preserve">      </w:t>
      </w:r>
      <w:r w:rsidRPr="007461F5">
        <w:rPr>
          <w:color w:val="000000" w:themeColor="text1"/>
          <w:sz w:val="22"/>
          <w:szCs w:val="22"/>
        </w:rPr>
        <w:t>N90-740 control collected from 9 locations</w:t>
      </w:r>
      <w:bookmarkEnd w:id="44"/>
    </w:p>
    <w:p w14:paraId="3D989585" w14:textId="77777777" w:rsidR="0033454E" w:rsidRPr="007461F5" w:rsidRDefault="0033454E" w:rsidP="0033454E">
      <w:pPr>
        <w:rPr>
          <w:color w:val="000000" w:themeColor="text1"/>
          <w:lang w:val="en-AU" w:bidi="ar-SA"/>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1247"/>
        <w:gridCol w:w="1247"/>
        <w:gridCol w:w="1333"/>
        <w:gridCol w:w="851"/>
        <w:gridCol w:w="1134"/>
        <w:gridCol w:w="1134"/>
        <w:gridCol w:w="1234"/>
      </w:tblGrid>
      <w:tr w:rsidR="0033454E" w:rsidRPr="00420FFA" w14:paraId="129AE14D" w14:textId="77777777" w:rsidTr="004A7168">
        <w:trPr>
          <w:trHeight w:val="880"/>
          <w:tblHeader/>
          <w:jc w:val="center"/>
        </w:trPr>
        <w:tc>
          <w:tcPr>
            <w:tcW w:w="1220" w:type="dxa"/>
            <w:shd w:val="clear" w:color="auto" w:fill="9BBB59" w:themeFill="accent3"/>
            <w:noWrap/>
            <w:vAlign w:val="center"/>
          </w:tcPr>
          <w:p w14:paraId="21ACD6F3"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Vitamin         % dw</w:t>
            </w:r>
          </w:p>
        </w:tc>
        <w:tc>
          <w:tcPr>
            <w:tcW w:w="1247" w:type="dxa"/>
            <w:shd w:val="clear" w:color="auto" w:fill="9BBB59" w:themeFill="accent3"/>
            <w:vAlign w:val="center"/>
          </w:tcPr>
          <w:p w14:paraId="7EBEF4A0" w14:textId="77777777" w:rsidR="0033454E" w:rsidRPr="004A7168" w:rsidRDefault="0033454E" w:rsidP="0033454E">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 xml:space="preserve">N90-740 </w:t>
            </w:r>
          </w:p>
          <w:p w14:paraId="7EBBA1D8" w14:textId="77777777" w:rsidR="0033454E" w:rsidRPr="004A7168" w:rsidRDefault="0033454E" w:rsidP="0033454E">
            <w:pPr>
              <w:jc w:val="center"/>
              <w:rPr>
                <w:rFonts w:cs="Arial"/>
                <w:b/>
                <w:bCs/>
                <w:color w:val="FFFFFF" w:themeColor="background1"/>
                <w:sz w:val="18"/>
                <w:szCs w:val="18"/>
              </w:rPr>
            </w:pPr>
            <w:r w:rsidRPr="004A7168">
              <w:rPr>
                <w:rFonts w:eastAsiaTheme="minorHAnsi" w:cs="Arial"/>
                <w:b/>
                <w:color w:val="FFFFFF" w:themeColor="background1"/>
                <w:sz w:val="18"/>
                <w:szCs w:val="18"/>
              </w:rPr>
              <w:t>(A)</w:t>
            </w:r>
          </w:p>
        </w:tc>
        <w:tc>
          <w:tcPr>
            <w:tcW w:w="1247" w:type="dxa"/>
            <w:shd w:val="clear" w:color="auto" w:fill="9BBB59" w:themeFill="accent3"/>
            <w:vAlign w:val="center"/>
          </w:tcPr>
          <w:p w14:paraId="7F3CE81B" w14:textId="77777777" w:rsidR="0033454E" w:rsidRPr="004A7168" w:rsidRDefault="0033454E" w:rsidP="0033454E">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MS11 unsprayed (B)</w:t>
            </w:r>
          </w:p>
        </w:tc>
        <w:tc>
          <w:tcPr>
            <w:tcW w:w="1333" w:type="dxa"/>
            <w:shd w:val="clear" w:color="auto" w:fill="9BBB59" w:themeFill="accent3"/>
            <w:vAlign w:val="center"/>
          </w:tcPr>
          <w:p w14:paraId="5EA151C3"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 xml:space="preserve">MS11 sprayed </w:t>
            </w:r>
          </w:p>
          <w:p w14:paraId="6DCA8CB7"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(C)</w:t>
            </w:r>
          </w:p>
        </w:tc>
        <w:tc>
          <w:tcPr>
            <w:tcW w:w="851" w:type="dxa"/>
            <w:shd w:val="clear" w:color="auto" w:fill="9BBB59" w:themeFill="accent3"/>
            <w:vAlign w:val="center"/>
          </w:tcPr>
          <w:p w14:paraId="0E853162"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p-value</w:t>
            </w:r>
          </w:p>
          <w:p w14:paraId="26C43B78" w14:textId="77777777" w:rsidR="0033454E" w:rsidRPr="004A7168" w:rsidRDefault="0033454E" w:rsidP="0033454E">
            <w:pPr>
              <w:jc w:val="center"/>
              <w:rPr>
                <w:rFonts w:cs="Arial"/>
                <w:b/>
                <w:bCs/>
                <w:color w:val="FFFFFF" w:themeColor="background1"/>
                <w:sz w:val="18"/>
                <w:szCs w:val="18"/>
                <w:vertAlign w:val="superscript"/>
              </w:rPr>
            </w:pPr>
            <w:r w:rsidRPr="004A7168">
              <w:rPr>
                <w:rFonts w:cs="Arial"/>
                <w:b/>
                <w:bCs/>
                <w:color w:val="FFFFFF" w:themeColor="background1"/>
                <w:sz w:val="18"/>
                <w:szCs w:val="18"/>
              </w:rPr>
              <w:t xml:space="preserve"> A vs B</w:t>
            </w:r>
          </w:p>
        </w:tc>
        <w:tc>
          <w:tcPr>
            <w:tcW w:w="1134" w:type="dxa"/>
            <w:shd w:val="clear" w:color="auto" w:fill="9BBB59" w:themeFill="accent3"/>
            <w:vAlign w:val="center"/>
          </w:tcPr>
          <w:p w14:paraId="512A2D47" w14:textId="77777777" w:rsidR="0033454E" w:rsidRPr="004A7168" w:rsidRDefault="0033454E" w:rsidP="0033454E">
            <w:pPr>
              <w:jc w:val="center"/>
              <w:rPr>
                <w:rFonts w:cs="Arial"/>
                <w:b/>
                <w:bCs/>
                <w:color w:val="FFFFFF" w:themeColor="background1"/>
                <w:sz w:val="18"/>
                <w:szCs w:val="18"/>
                <w:vertAlign w:val="superscript"/>
              </w:rPr>
            </w:pPr>
            <w:r w:rsidRPr="004A7168">
              <w:rPr>
                <w:rFonts w:cs="Arial"/>
                <w:b/>
                <w:bCs/>
                <w:color w:val="FFFFFF" w:themeColor="background1"/>
                <w:sz w:val="18"/>
                <w:szCs w:val="18"/>
              </w:rPr>
              <w:t>p-value</w:t>
            </w:r>
            <w:r w:rsidRPr="004A7168">
              <w:rPr>
                <w:rFonts w:cs="Arial"/>
                <w:b/>
                <w:bCs/>
                <w:color w:val="FFFFFF" w:themeColor="background1"/>
                <w:sz w:val="18"/>
                <w:szCs w:val="18"/>
                <w:vertAlign w:val="superscript"/>
              </w:rPr>
              <w:t>1</w:t>
            </w:r>
          </w:p>
          <w:p w14:paraId="5A17EFF5"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A vs C</w:t>
            </w:r>
          </w:p>
        </w:tc>
        <w:tc>
          <w:tcPr>
            <w:tcW w:w="1134" w:type="dxa"/>
            <w:shd w:val="clear" w:color="auto" w:fill="9BBB59" w:themeFill="accent3"/>
            <w:vAlign w:val="center"/>
          </w:tcPr>
          <w:p w14:paraId="635D6ACF"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95% Tolerance interval</w:t>
            </w:r>
          </w:p>
        </w:tc>
        <w:tc>
          <w:tcPr>
            <w:tcW w:w="1234" w:type="dxa"/>
            <w:shd w:val="clear" w:color="auto" w:fill="9BBB59" w:themeFill="accent3"/>
            <w:vAlign w:val="center"/>
          </w:tcPr>
          <w:p w14:paraId="11D77B1E" w14:textId="77777777" w:rsidR="0033454E" w:rsidRPr="004A7168" w:rsidRDefault="0033454E" w:rsidP="0033454E">
            <w:pPr>
              <w:jc w:val="center"/>
              <w:rPr>
                <w:rFonts w:cs="Arial"/>
                <w:b/>
                <w:bCs/>
                <w:color w:val="FFFFFF" w:themeColor="background1"/>
                <w:sz w:val="18"/>
                <w:szCs w:val="18"/>
              </w:rPr>
            </w:pPr>
            <w:r w:rsidRPr="004A7168">
              <w:rPr>
                <w:rFonts w:cs="Arial"/>
                <w:b/>
                <w:bCs/>
                <w:color w:val="FFFFFF" w:themeColor="background1"/>
                <w:sz w:val="18"/>
                <w:szCs w:val="18"/>
              </w:rPr>
              <w:t>Combined literature</w:t>
            </w:r>
            <w:r w:rsidRPr="004A7168">
              <w:rPr>
                <w:rFonts w:cs="Arial"/>
                <w:b/>
                <w:bCs/>
                <w:color w:val="FFFFFF" w:themeColor="background1"/>
                <w:sz w:val="18"/>
                <w:szCs w:val="18"/>
              </w:rPr>
              <w:br/>
              <w:t xml:space="preserve">range </w:t>
            </w:r>
          </w:p>
        </w:tc>
      </w:tr>
      <w:tr w:rsidR="0033454E" w:rsidRPr="000B22B7" w14:paraId="301FE45B" w14:textId="77777777" w:rsidTr="004A7168">
        <w:trPr>
          <w:trHeight w:val="510"/>
          <w:jc w:val="center"/>
        </w:trPr>
        <w:tc>
          <w:tcPr>
            <w:tcW w:w="1220" w:type="dxa"/>
            <w:shd w:val="clear" w:color="auto" w:fill="FFFFFF" w:themeFill="background1"/>
            <w:noWrap/>
            <w:vAlign w:val="center"/>
          </w:tcPr>
          <w:p w14:paraId="5AC211AD"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α-tocopherol</w:t>
            </w:r>
          </w:p>
        </w:tc>
        <w:tc>
          <w:tcPr>
            <w:tcW w:w="1247" w:type="dxa"/>
            <w:shd w:val="clear" w:color="auto" w:fill="FFFFFF" w:themeFill="background1"/>
            <w:vAlign w:val="center"/>
          </w:tcPr>
          <w:p w14:paraId="622CF75B"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94.8±11.6</w:t>
            </w:r>
          </w:p>
        </w:tc>
        <w:tc>
          <w:tcPr>
            <w:tcW w:w="1247" w:type="dxa"/>
            <w:shd w:val="clear" w:color="auto" w:fill="FFFFFF" w:themeFill="background1"/>
            <w:vAlign w:val="center"/>
          </w:tcPr>
          <w:p w14:paraId="721A5245"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93.5±7.4</w:t>
            </w:r>
          </w:p>
        </w:tc>
        <w:tc>
          <w:tcPr>
            <w:tcW w:w="1333" w:type="dxa"/>
            <w:shd w:val="clear" w:color="auto" w:fill="FFFFFF" w:themeFill="background1"/>
            <w:vAlign w:val="center"/>
          </w:tcPr>
          <w:p w14:paraId="76D316B3" w14:textId="77777777" w:rsidR="0033454E" w:rsidRPr="004A7168" w:rsidRDefault="0033454E" w:rsidP="0033454E">
            <w:pPr>
              <w:jc w:val="center"/>
              <w:rPr>
                <w:rFonts w:cs="Arial"/>
                <w:color w:val="000000" w:themeColor="text1"/>
                <w:sz w:val="18"/>
                <w:szCs w:val="18"/>
                <w:vertAlign w:val="superscript"/>
              </w:rPr>
            </w:pPr>
            <w:r w:rsidRPr="004A7168">
              <w:rPr>
                <w:rFonts w:cs="Arial"/>
                <w:color w:val="000000" w:themeColor="text1"/>
                <w:sz w:val="18"/>
                <w:szCs w:val="18"/>
              </w:rPr>
              <w:t>91.2±10.9</w:t>
            </w:r>
          </w:p>
        </w:tc>
        <w:tc>
          <w:tcPr>
            <w:tcW w:w="851" w:type="dxa"/>
            <w:shd w:val="clear" w:color="auto" w:fill="FFFFFF" w:themeFill="background1"/>
            <w:vAlign w:val="center"/>
          </w:tcPr>
          <w:p w14:paraId="1B1AD7FA" w14:textId="77777777" w:rsidR="0033454E" w:rsidRPr="004A7168" w:rsidRDefault="0033454E" w:rsidP="0033454E">
            <w:pPr>
              <w:jc w:val="center"/>
              <w:rPr>
                <w:rFonts w:cs="Arial"/>
                <w:color w:val="000000" w:themeColor="text1"/>
                <w:sz w:val="18"/>
                <w:szCs w:val="18"/>
                <w:vertAlign w:val="superscript"/>
              </w:rPr>
            </w:pPr>
            <w:r w:rsidRPr="004A7168">
              <w:rPr>
                <w:rFonts w:cs="Arial"/>
                <w:color w:val="000000" w:themeColor="text1"/>
                <w:sz w:val="18"/>
                <w:szCs w:val="18"/>
              </w:rPr>
              <w:t>0.356</w:t>
            </w:r>
          </w:p>
        </w:tc>
        <w:tc>
          <w:tcPr>
            <w:tcW w:w="1134" w:type="dxa"/>
            <w:shd w:val="clear" w:color="auto" w:fill="FFFFFF" w:themeFill="background1"/>
            <w:vAlign w:val="center"/>
          </w:tcPr>
          <w:p w14:paraId="6FDC4A8A"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0.436</w:t>
            </w:r>
          </w:p>
        </w:tc>
        <w:tc>
          <w:tcPr>
            <w:tcW w:w="1134" w:type="dxa"/>
            <w:shd w:val="clear" w:color="auto" w:fill="FFFFFF" w:themeFill="background1"/>
            <w:vAlign w:val="center"/>
          </w:tcPr>
          <w:p w14:paraId="71247D3A"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48.0, 154.9</w:t>
            </w:r>
          </w:p>
        </w:tc>
        <w:tc>
          <w:tcPr>
            <w:tcW w:w="1234" w:type="dxa"/>
            <w:shd w:val="clear" w:color="auto" w:fill="FFFFFF" w:themeFill="background1"/>
            <w:noWrap/>
            <w:vAlign w:val="center"/>
          </w:tcPr>
          <w:p w14:paraId="1FE505E5"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71.1 – 108.4</w:t>
            </w:r>
          </w:p>
        </w:tc>
      </w:tr>
      <w:tr w:rsidR="0033454E" w:rsidRPr="000B22B7" w14:paraId="0A68BE5B" w14:textId="77777777" w:rsidTr="004A7168">
        <w:trPr>
          <w:trHeight w:val="510"/>
          <w:jc w:val="center"/>
        </w:trPr>
        <w:tc>
          <w:tcPr>
            <w:tcW w:w="1220" w:type="dxa"/>
            <w:shd w:val="clear" w:color="auto" w:fill="EAF1DD" w:themeFill="accent3" w:themeFillTint="33"/>
            <w:noWrap/>
            <w:vAlign w:val="center"/>
          </w:tcPr>
          <w:p w14:paraId="52883972"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γ-tocopherol</w:t>
            </w:r>
          </w:p>
        </w:tc>
        <w:tc>
          <w:tcPr>
            <w:tcW w:w="1247" w:type="dxa"/>
            <w:shd w:val="clear" w:color="auto" w:fill="EAF1DD" w:themeFill="accent3" w:themeFillTint="33"/>
            <w:vAlign w:val="center"/>
          </w:tcPr>
          <w:p w14:paraId="4F10A1B4"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171±29</w:t>
            </w:r>
          </w:p>
        </w:tc>
        <w:tc>
          <w:tcPr>
            <w:tcW w:w="1247" w:type="dxa"/>
            <w:shd w:val="clear" w:color="auto" w:fill="EAF1DD" w:themeFill="accent3" w:themeFillTint="33"/>
            <w:vAlign w:val="center"/>
          </w:tcPr>
          <w:p w14:paraId="4C1867AF"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165±24</w:t>
            </w:r>
          </w:p>
        </w:tc>
        <w:tc>
          <w:tcPr>
            <w:tcW w:w="1333" w:type="dxa"/>
            <w:shd w:val="clear" w:color="auto" w:fill="FDE9D9" w:themeFill="accent6" w:themeFillTint="33"/>
            <w:vAlign w:val="center"/>
          </w:tcPr>
          <w:p w14:paraId="5F4E70A0" w14:textId="77777777" w:rsidR="0033454E" w:rsidRPr="004A7168" w:rsidRDefault="0033454E" w:rsidP="0033454E">
            <w:pPr>
              <w:jc w:val="center"/>
              <w:rPr>
                <w:rFonts w:cs="Arial"/>
                <w:color w:val="000000" w:themeColor="text1"/>
                <w:sz w:val="18"/>
                <w:szCs w:val="18"/>
                <w:vertAlign w:val="superscript"/>
              </w:rPr>
            </w:pPr>
            <w:r w:rsidRPr="004A7168">
              <w:rPr>
                <w:rFonts w:cs="Arial"/>
                <w:color w:val="000000" w:themeColor="text1"/>
                <w:sz w:val="18"/>
                <w:szCs w:val="18"/>
              </w:rPr>
              <w:t>153±29</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5F4391F9"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0.316</w:t>
            </w:r>
          </w:p>
        </w:tc>
        <w:tc>
          <w:tcPr>
            <w:tcW w:w="1134" w:type="dxa"/>
            <w:shd w:val="clear" w:color="auto" w:fill="EAF1DD" w:themeFill="accent3" w:themeFillTint="33"/>
            <w:vAlign w:val="center"/>
          </w:tcPr>
          <w:p w14:paraId="3E43F438" w14:textId="77777777" w:rsidR="0033454E" w:rsidRPr="004A7168" w:rsidRDefault="0033454E" w:rsidP="0033454E">
            <w:pPr>
              <w:jc w:val="center"/>
              <w:rPr>
                <w:rFonts w:cs="Arial"/>
                <w:b/>
                <w:color w:val="000000" w:themeColor="text1"/>
                <w:sz w:val="18"/>
                <w:szCs w:val="18"/>
                <w:u w:val="single"/>
              </w:rPr>
            </w:pPr>
            <w:r w:rsidRPr="004A7168">
              <w:rPr>
                <w:rFonts w:cs="Arial"/>
                <w:b/>
                <w:color w:val="000000" w:themeColor="text1"/>
                <w:sz w:val="18"/>
                <w:szCs w:val="18"/>
                <w:u w:val="single"/>
              </w:rPr>
              <w:t>0.028</w:t>
            </w:r>
          </w:p>
        </w:tc>
        <w:tc>
          <w:tcPr>
            <w:tcW w:w="1134" w:type="dxa"/>
            <w:shd w:val="clear" w:color="auto" w:fill="EAF1DD" w:themeFill="accent3" w:themeFillTint="33"/>
            <w:vAlign w:val="center"/>
          </w:tcPr>
          <w:p w14:paraId="4FFCDE5C"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44 - 326</w:t>
            </w:r>
          </w:p>
        </w:tc>
        <w:tc>
          <w:tcPr>
            <w:tcW w:w="1234" w:type="dxa"/>
            <w:shd w:val="clear" w:color="auto" w:fill="EAF1DD" w:themeFill="accent3" w:themeFillTint="33"/>
            <w:noWrap/>
            <w:vAlign w:val="center"/>
          </w:tcPr>
          <w:p w14:paraId="32EB5D58" w14:textId="77777777" w:rsidR="0033454E" w:rsidRPr="004A7168" w:rsidRDefault="0033454E" w:rsidP="0033454E">
            <w:pPr>
              <w:jc w:val="center"/>
              <w:rPr>
                <w:rFonts w:cs="Arial"/>
                <w:color w:val="000000" w:themeColor="text1"/>
                <w:sz w:val="18"/>
                <w:szCs w:val="18"/>
              </w:rPr>
            </w:pPr>
          </w:p>
        </w:tc>
      </w:tr>
      <w:tr w:rsidR="0033454E" w:rsidRPr="000B22B7" w14:paraId="04381DF8" w14:textId="77777777" w:rsidTr="004A7168">
        <w:trPr>
          <w:trHeight w:val="510"/>
          <w:jc w:val="center"/>
        </w:trPr>
        <w:tc>
          <w:tcPr>
            <w:tcW w:w="1220" w:type="dxa"/>
            <w:shd w:val="clear" w:color="auto" w:fill="FFFFFF" w:themeFill="background1"/>
            <w:noWrap/>
            <w:vAlign w:val="center"/>
          </w:tcPr>
          <w:p w14:paraId="6F5B642D"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Vitamin K</w:t>
            </w:r>
          </w:p>
        </w:tc>
        <w:tc>
          <w:tcPr>
            <w:tcW w:w="1247" w:type="dxa"/>
            <w:shd w:val="clear" w:color="auto" w:fill="FFFFFF" w:themeFill="background1"/>
            <w:vAlign w:val="center"/>
          </w:tcPr>
          <w:p w14:paraId="201EF841"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1.297±0.410</w:t>
            </w:r>
          </w:p>
        </w:tc>
        <w:tc>
          <w:tcPr>
            <w:tcW w:w="1247" w:type="dxa"/>
            <w:shd w:val="clear" w:color="auto" w:fill="FFFFFF" w:themeFill="background1"/>
            <w:vAlign w:val="center"/>
          </w:tcPr>
          <w:p w14:paraId="5F268A49"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1.286±0.359</w:t>
            </w:r>
          </w:p>
        </w:tc>
        <w:tc>
          <w:tcPr>
            <w:tcW w:w="1333" w:type="dxa"/>
            <w:shd w:val="clear" w:color="auto" w:fill="FDE9D9" w:themeFill="accent6" w:themeFillTint="33"/>
            <w:vAlign w:val="center"/>
          </w:tcPr>
          <w:p w14:paraId="649406F5" w14:textId="77777777" w:rsidR="0033454E" w:rsidRPr="004A7168" w:rsidRDefault="0033454E" w:rsidP="0033454E">
            <w:pPr>
              <w:jc w:val="center"/>
              <w:rPr>
                <w:rFonts w:cs="Arial"/>
                <w:color w:val="000000" w:themeColor="text1"/>
                <w:sz w:val="18"/>
                <w:szCs w:val="18"/>
                <w:vertAlign w:val="superscript"/>
              </w:rPr>
            </w:pPr>
            <w:r w:rsidRPr="004A7168">
              <w:rPr>
                <w:rFonts w:cs="Arial"/>
                <w:color w:val="000000" w:themeColor="text1"/>
                <w:sz w:val="18"/>
                <w:szCs w:val="18"/>
              </w:rPr>
              <w:t>1.702±0.604</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1DDBC92F"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0.891</w:t>
            </w:r>
          </w:p>
        </w:tc>
        <w:tc>
          <w:tcPr>
            <w:tcW w:w="1134" w:type="dxa"/>
            <w:shd w:val="clear" w:color="auto" w:fill="FFFFFF" w:themeFill="background1"/>
            <w:vAlign w:val="center"/>
          </w:tcPr>
          <w:p w14:paraId="13C1E44C" w14:textId="77777777" w:rsidR="0033454E" w:rsidRPr="004A7168" w:rsidRDefault="0033454E" w:rsidP="0033454E">
            <w:pPr>
              <w:jc w:val="center"/>
              <w:rPr>
                <w:rFonts w:cs="Arial"/>
                <w:b/>
                <w:color w:val="000000" w:themeColor="text1"/>
                <w:sz w:val="18"/>
                <w:szCs w:val="18"/>
                <w:u w:val="single"/>
              </w:rPr>
            </w:pPr>
            <w:r w:rsidRPr="004A7168">
              <w:rPr>
                <w:rFonts w:cs="Arial"/>
                <w:b/>
                <w:color w:val="000000" w:themeColor="text1"/>
                <w:sz w:val="18"/>
                <w:szCs w:val="18"/>
                <w:u w:val="single"/>
              </w:rPr>
              <w:t>0.002</w:t>
            </w:r>
          </w:p>
        </w:tc>
        <w:tc>
          <w:tcPr>
            <w:tcW w:w="1134" w:type="dxa"/>
            <w:shd w:val="clear" w:color="auto" w:fill="FFFFFF" w:themeFill="background1"/>
            <w:vAlign w:val="center"/>
          </w:tcPr>
          <w:p w14:paraId="105FF162" w14:textId="77777777" w:rsidR="0033454E" w:rsidRPr="004A7168" w:rsidRDefault="0033454E" w:rsidP="0033454E">
            <w:pPr>
              <w:jc w:val="center"/>
              <w:rPr>
                <w:rFonts w:cs="Arial"/>
                <w:color w:val="000000" w:themeColor="text1"/>
                <w:sz w:val="18"/>
                <w:szCs w:val="18"/>
              </w:rPr>
            </w:pPr>
            <w:r w:rsidRPr="004A7168">
              <w:rPr>
                <w:rFonts w:cs="Arial"/>
                <w:color w:val="000000" w:themeColor="text1"/>
                <w:sz w:val="18"/>
                <w:szCs w:val="18"/>
              </w:rPr>
              <w:t>0.168 -2.140</w:t>
            </w:r>
          </w:p>
        </w:tc>
        <w:tc>
          <w:tcPr>
            <w:tcW w:w="1234" w:type="dxa"/>
            <w:shd w:val="clear" w:color="auto" w:fill="FFFFFF" w:themeFill="background1"/>
            <w:noWrap/>
            <w:vAlign w:val="center"/>
          </w:tcPr>
          <w:p w14:paraId="4BBBF1CD" w14:textId="77777777" w:rsidR="0033454E" w:rsidRPr="004A7168" w:rsidRDefault="0033454E" w:rsidP="0033454E">
            <w:pPr>
              <w:jc w:val="center"/>
              <w:rPr>
                <w:rFonts w:cs="Arial"/>
                <w:color w:val="000000" w:themeColor="text1"/>
                <w:sz w:val="18"/>
                <w:szCs w:val="18"/>
              </w:rPr>
            </w:pPr>
          </w:p>
        </w:tc>
      </w:tr>
    </w:tbl>
    <w:p w14:paraId="77E2540F" w14:textId="77777777" w:rsidR="0033454E" w:rsidRPr="00F50D6A" w:rsidRDefault="0033454E" w:rsidP="0033454E">
      <w:pPr>
        <w:autoSpaceDE w:val="0"/>
        <w:autoSpaceDN w:val="0"/>
        <w:adjustRightInd w:val="0"/>
        <w:rPr>
          <w:color w:val="000000" w:themeColor="text1"/>
          <w:sz w:val="18"/>
          <w:szCs w:val="18"/>
        </w:rPr>
      </w:pPr>
      <w:r w:rsidRPr="00F50D6A">
        <w:rPr>
          <w:color w:val="000000" w:themeColor="text1"/>
          <w:sz w:val="18"/>
          <w:szCs w:val="18"/>
          <w:vertAlign w:val="superscript"/>
        </w:rPr>
        <w:t>1</w:t>
      </w:r>
      <w:r w:rsidRPr="00F50D6A">
        <w:rPr>
          <w:color w:val="000000" w:themeColor="text1"/>
          <w:sz w:val="18"/>
          <w:szCs w:val="18"/>
        </w:rPr>
        <w:t xml:space="preserve"> p-values indicating significant differences are bolded and underlined.</w:t>
      </w:r>
    </w:p>
    <w:p w14:paraId="40BFC0A8" w14:textId="56781B40" w:rsidR="0033454E" w:rsidRDefault="0033454E" w:rsidP="0033454E">
      <w:pPr>
        <w:autoSpaceDE w:val="0"/>
        <w:autoSpaceDN w:val="0"/>
        <w:adjustRightInd w:val="0"/>
        <w:ind w:left="284" w:hanging="284"/>
        <w:rPr>
          <w:rFonts w:cs="Arial"/>
          <w:color w:val="000000" w:themeColor="text1"/>
          <w:sz w:val="20"/>
          <w:szCs w:val="20"/>
        </w:rPr>
      </w:pPr>
      <w:r w:rsidRPr="00F50D6A">
        <w:rPr>
          <w:color w:val="000000" w:themeColor="text1"/>
          <w:sz w:val="20"/>
          <w:szCs w:val="20"/>
          <w:vertAlign w:val="superscript"/>
        </w:rPr>
        <w:t>2</w:t>
      </w:r>
      <w:r w:rsidRPr="00F50D6A">
        <w:rPr>
          <w:rFonts w:cs="Arial"/>
          <w:color w:val="000000" w:themeColor="text1"/>
          <w:sz w:val="20"/>
          <w:szCs w:val="20"/>
        </w:rPr>
        <w:t xml:space="preserve"> </w:t>
      </w:r>
      <w:r w:rsidR="00041AF7" w:rsidRPr="006B3E6D">
        <w:rPr>
          <w:rFonts w:cs="Arial"/>
          <w:color w:val="000000" w:themeColor="text1"/>
          <w:sz w:val="18"/>
          <w:szCs w:val="18"/>
        </w:rPr>
        <w:t>orange shading represents MS11 mean</w:t>
      </w:r>
      <w:r w:rsidR="00041AF7">
        <w:rPr>
          <w:rFonts w:cs="Arial"/>
          <w:color w:val="000000" w:themeColor="text1"/>
          <w:sz w:val="18"/>
          <w:szCs w:val="18"/>
        </w:rPr>
        <w:t>s that are significantly higher than the N90-740 means</w:t>
      </w:r>
      <w:r w:rsidR="00041AF7">
        <w:rPr>
          <w:rFonts w:cs="Arial"/>
          <w:color w:val="000000" w:themeColor="text1"/>
          <w:sz w:val="20"/>
          <w:szCs w:val="20"/>
        </w:rPr>
        <w:t>.</w:t>
      </w:r>
      <w:r w:rsidR="004A7168">
        <w:rPr>
          <w:rFonts w:cs="Arial"/>
          <w:color w:val="000000" w:themeColor="text1"/>
          <w:sz w:val="20"/>
          <w:szCs w:val="20"/>
        </w:rPr>
        <w:t xml:space="preserve"> </w:t>
      </w:r>
    </w:p>
    <w:p w14:paraId="174EB497" w14:textId="02ED7196" w:rsidR="0033454E" w:rsidRPr="00530C50" w:rsidRDefault="00283E37" w:rsidP="0033454E">
      <w:pPr>
        <w:pStyle w:val="Heading3"/>
      </w:pPr>
      <w:r>
        <w:t>5.3.6</w:t>
      </w:r>
      <w:r w:rsidR="0033454E" w:rsidRPr="00530C50">
        <w:tab/>
        <w:t>Anti-nutrients</w:t>
      </w:r>
    </w:p>
    <w:p w14:paraId="4172CA3D" w14:textId="77777777" w:rsidR="0033454E" w:rsidRDefault="0033454E" w:rsidP="0033454E">
      <w:pPr>
        <w:widowControl/>
        <w:autoSpaceDE w:val="0"/>
        <w:autoSpaceDN w:val="0"/>
        <w:adjustRightInd w:val="0"/>
        <w:rPr>
          <w:rFonts w:eastAsia="Batang" w:cs="Arial"/>
          <w:bCs/>
          <w:color w:val="000000" w:themeColor="text1"/>
          <w:szCs w:val="22"/>
        </w:rPr>
      </w:pPr>
      <w:r w:rsidRPr="00530C50">
        <w:rPr>
          <w:rFonts w:cs="Arial"/>
          <w:color w:val="000000" w:themeColor="text1"/>
          <w:szCs w:val="22"/>
          <w:lang w:eastAsia="en-GB" w:bidi="ar-SA"/>
        </w:rPr>
        <w:t>Levels of 10 glucosinolates (plus total glucosinolates), phytic acid, sinapine and three categories of tannins were measured</w:t>
      </w:r>
      <w:r w:rsidRPr="00A36476">
        <w:rPr>
          <w:rFonts w:cs="Arial"/>
          <w:color w:val="000000" w:themeColor="text1"/>
          <w:szCs w:val="22"/>
          <w:lang w:eastAsia="en-GB" w:bidi="ar-SA"/>
        </w:rPr>
        <w:t>. Six of the glucosinolates</w:t>
      </w:r>
      <w:r w:rsidRPr="00530C50">
        <w:rPr>
          <w:rFonts w:cs="Arial"/>
          <w:color w:val="000000" w:themeColor="text1"/>
          <w:szCs w:val="22"/>
          <w:lang w:eastAsia="en-GB" w:bidi="ar-SA"/>
        </w:rPr>
        <w:t xml:space="preserve"> </w:t>
      </w:r>
      <w:r>
        <w:rPr>
          <w:rFonts w:cs="Arial"/>
          <w:color w:val="000000" w:themeColor="text1"/>
          <w:szCs w:val="22"/>
          <w:lang w:eastAsia="en-GB" w:bidi="ar-SA"/>
        </w:rPr>
        <w:t xml:space="preserve">(epi-progoitrin, glucoalyssin, glucobrassicanapin, gluconastutiin, glucoraphanin, neoglucobrassicin) </w:t>
      </w:r>
      <w:r w:rsidRPr="00530C50">
        <w:rPr>
          <w:rFonts w:cs="Arial"/>
          <w:color w:val="000000" w:themeColor="text1"/>
          <w:szCs w:val="22"/>
          <w:lang w:eastAsia="en-GB" w:bidi="ar-SA"/>
        </w:rPr>
        <w:t>were</w:t>
      </w:r>
      <w:r w:rsidRPr="00530C50">
        <w:rPr>
          <w:rFonts w:eastAsia="Batang" w:cs="Arial"/>
          <w:bCs/>
          <w:color w:val="000000" w:themeColor="text1"/>
          <w:szCs w:val="22"/>
        </w:rPr>
        <w:t xml:space="preserve"> below the LOQ in many samples and were excluded from the analysis</w:t>
      </w:r>
      <w:r w:rsidRPr="00BF13E2">
        <w:rPr>
          <w:rFonts w:eastAsia="Batang" w:cs="Arial"/>
          <w:bCs/>
          <w:color w:val="000000" w:themeColor="text1"/>
          <w:szCs w:val="22"/>
        </w:rPr>
        <w:t>.</w:t>
      </w:r>
      <w:r>
        <w:rPr>
          <w:rFonts w:eastAsia="Batang" w:cs="Arial"/>
          <w:bCs/>
          <w:color w:val="000000" w:themeColor="text1"/>
          <w:szCs w:val="22"/>
        </w:rPr>
        <w:t xml:space="preserve"> </w:t>
      </w:r>
    </w:p>
    <w:p w14:paraId="6BC567A4" w14:textId="77777777" w:rsidR="0033454E" w:rsidRDefault="0033454E" w:rsidP="0033454E">
      <w:pPr>
        <w:widowControl/>
        <w:autoSpaceDE w:val="0"/>
        <w:autoSpaceDN w:val="0"/>
        <w:adjustRightInd w:val="0"/>
        <w:rPr>
          <w:rFonts w:eastAsia="Batang" w:cs="Arial"/>
          <w:bCs/>
          <w:color w:val="000000" w:themeColor="text1"/>
          <w:szCs w:val="22"/>
        </w:rPr>
      </w:pPr>
    </w:p>
    <w:p w14:paraId="0F25E47C" w14:textId="77777777" w:rsidR="0033454E" w:rsidRDefault="0033454E" w:rsidP="0033454E">
      <w:pPr>
        <w:widowControl/>
        <w:autoSpaceDE w:val="0"/>
        <w:autoSpaceDN w:val="0"/>
        <w:adjustRightInd w:val="0"/>
        <w:rPr>
          <w:rFonts w:eastAsia="Batang" w:cs="Arial"/>
          <w:bCs/>
          <w:color w:val="000000" w:themeColor="text1"/>
          <w:szCs w:val="22"/>
        </w:rPr>
      </w:pPr>
      <w:r>
        <w:rPr>
          <w:rFonts w:eastAsia="Batang" w:cs="Arial"/>
          <w:bCs/>
          <w:color w:val="000000" w:themeColor="text1"/>
          <w:szCs w:val="22"/>
        </w:rPr>
        <w:t xml:space="preserve">The results </w:t>
      </w:r>
      <w:r w:rsidRPr="004F4FDA">
        <w:rPr>
          <w:rFonts w:eastAsia="Batang" w:cs="Arial"/>
          <w:bCs/>
          <w:color w:val="000000" w:themeColor="text1"/>
          <w:szCs w:val="22"/>
        </w:rPr>
        <w:t>(Table 10) can</w:t>
      </w:r>
      <w:r>
        <w:rPr>
          <w:rFonts w:eastAsia="Batang" w:cs="Arial"/>
          <w:bCs/>
          <w:color w:val="000000" w:themeColor="text1"/>
          <w:szCs w:val="22"/>
        </w:rPr>
        <w:t xml:space="preserve"> be summarised as follows:</w:t>
      </w:r>
    </w:p>
    <w:p w14:paraId="3BBB1DB9" w14:textId="77777777" w:rsidR="0033454E" w:rsidRDefault="0033454E" w:rsidP="0033454E">
      <w:pPr>
        <w:widowControl/>
        <w:autoSpaceDE w:val="0"/>
        <w:autoSpaceDN w:val="0"/>
        <w:adjustRightInd w:val="0"/>
        <w:rPr>
          <w:rFonts w:eastAsia="Batang" w:cs="Arial"/>
          <w:bCs/>
          <w:color w:val="000000" w:themeColor="text1"/>
          <w:szCs w:val="22"/>
        </w:rPr>
      </w:pPr>
    </w:p>
    <w:p w14:paraId="14701049" w14:textId="5F96B0E3" w:rsidR="0033454E" w:rsidRDefault="0033454E" w:rsidP="004A7168">
      <w:pPr>
        <w:pStyle w:val="FSBullet1"/>
        <w:rPr>
          <w:lang w:eastAsia="en-GB"/>
        </w:rPr>
      </w:pPr>
      <w:r w:rsidRPr="00A36476">
        <w:rPr>
          <w:lang w:eastAsia="en-GB"/>
        </w:rPr>
        <w:t>No significant di</w:t>
      </w:r>
      <w:r>
        <w:rPr>
          <w:lang w:eastAsia="en-GB"/>
        </w:rPr>
        <w:t>fferences were observed between the means of</w:t>
      </w:r>
      <w:r w:rsidRPr="00A36476">
        <w:rPr>
          <w:lang w:eastAsia="en-GB"/>
        </w:rPr>
        <w:t xml:space="preserve"> </w:t>
      </w:r>
      <w:r>
        <w:rPr>
          <w:lang w:eastAsia="en-GB"/>
        </w:rPr>
        <w:t>N90-740 and unsprayed MS11</w:t>
      </w:r>
      <w:r w:rsidRPr="00A36476">
        <w:rPr>
          <w:lang w:eastAsia="en-GB"/>
        </w:rPr>
        <w:t xml:space="preserve"> or </w:t>
      </w:r>
      <w:r>
        <w:rPr>
          <w:lang w:eastAsia="en-GB"/>
        </w:rPr>
        <w:t xml:space="preserve">those of N90-740 </w:t>
      </w:r>
      <w:r w:rsidRPr="00A36476">
        <w:rPr>
          <w:lang w:eastAsia="en-GB"/>
        </w:rPr>
        <w:t xml:space="preserve">and </w:t>
      </w:r>
      <w:r>
        <w:rPr>
          <w:lang w:eastAsia="en-GB"/>
        </w:rPr>
        <w:t>sprayed MS11 for 4-h</w:t>
      </w:r>
      <w:r w:rsidRPr="00A36476">
        <w:rPr>
          <w:lang w:eastAsia="en-GB"/>
        </w:rPr>
        <w:t>ydroxyglucobrassicin, glucobrassicin, phytic acid, sinapine, soluble tannins or total condensed tannins.</w:t>
      </w:r>
    </w:p>
    <w:p w14:paraId="330CF0C6" w14:textId="77777777" w:rsidR="00A81CB6" w:rsidRPr="00A81CB6" w:rsidRDefault="00A81CB6" w:rsidP="004A7168">
      <w:pPr>
        <w:rPr>
          <w:lang w:eastAsia="en-GB" w:bidi="ar-SA"/>
        </w:rPr>
      </w:pPr>
    </w:p>
    <w:p w14:paraId="2A2D7E56" w14:textId="4F3996A3" w:rsidR="0033454E" w:rsidRDefault="0033454E" w:rsidP="004A7168">
      <w:pPr>
        <w:pStyle w:val="FSBullet1"/>
        <w:rPr>
          <w:lang w:eastAsia="en-GB"/>
        </w:rPr>
      </w:pPr>
      <w:r>
        <w:rPr>
          <w:lang w:eastAsia="en-GB"/>
        </w:rPr>
        <w:t>Means for gluconapin were significantly higher than the N90-740 control in both sprayed and unsprayed MS11.</w:t>
      </w:r>
    </w:p>
    <w:p w14:paraId="6F54D131" w14:textId="77777777" w:rsidR="00A81CB6" w:rsidRPr="00A81CB6" w:rsidRDefault="00A81CB6" w:rsidP="004A7168">
      <w:pPr>
        <w:rPr>
          <w:lang w:eastAsia="en-GB" w:bidi="ar-SA"/>
        </w:rPr>
      </w:pPr>
    </w:p>
    <w:p w14:paraId="2E547D77" w14:textId="77FF3464" w:rsidR="0033454E" w:rsidRDefault="0033454E" w:rsidP="004A7168">
      <w:pPr>
        <w:pStyle w:val="FSBullet1"/>
        <w:rPr>
          <w:lang w:eastAsia="en-GB"/>
        </w:rPr>
      </w:pPr>
      <w:r>
        <w:rPr>
          <w:lang w:eastAsia="en-GB"/>
        </w:rPr>
        <w:t>Means for progoitrin and total glucosinolates in sprayed MS11 were significantly higher than those in N90-740.</w:t>
      </w:r>
    </w:p>
    <w:p w14:paraId="1489D359" w14:textId="77777777" w:rsidR="00A81CB6" w:rsidRPr="00A81CB6" w:rsidRDefault="00A81CB6" w:rsidP="004A7168">
      <w:pPr>
        <w:rPr>
          <w:lang w:eastAsia="en-GB" w:bidi="ar-SA"/>
        </w:rPr>
      </w:pPr>
    </w:p>
    <w:p w14:paraId="7A5DF7FF" w14:textId="2EC04AEE" w:rsidR="0033454E" w:rsidRDefault="0033454E" w:rsidP="004A7168">
      <w:pPr>
        <w:pStyle w:val="FSBullet1"/>
        <w:rPr>
          <w:lang w:eastAsia="en-GB"/>
        </w:rPr>
      </w:pPr>
      <w:r>
        <w:rPr>
          <w:lang w:eastAsia="en-GB"/>
        </w:rPr>
        <w:t xml:space="preserve">Mean for insoluble tannins was significantly higher in unsprayed MS11 than in N90-740 (noting that while the reported arithmetic mean in </w:t>
      </w:r>
      <w:r w:rsidRPr="004F4FDA">
        <w:rPr>
          <w:lang w:eastAsia="en-GB"/>
        </w:rPr>
        <w:t>Table 10 for unsprayed</w:t>
      </w:r>
      <w:r>
        <w:rPr>
          <w:lang w:eastAsia="en-GB"/>
        </w:rPr>
        <w:t xml:space="preserve"> MS11 is actually lower than the sprayed MS11 mean which was not significant, the least square mean derived from the statistical analysis gave 0.404, 0.467 and 0.447 for N90-740, unsprayed MS11 and sprayed MS11 respectively).</w:t>
      </w:r>
    </w:p>
    <w:p w14:paraId="220748AB" w14:textId="77777777" w:rsidR="00A81CB6" w:rsidRPr="00A81CB6" w:rsidRDefault="00A81CB6" w:rsidP="004A7168">
      <w:pPr>
        <w:rPr>
          <w:lang w:eastAsia="en-GB" w:bidi="ar-SA"/>
        </w:rPr>
      </w:pPr>
    </w:p>
    <w:p w14:paraId="01FFF391" w14:textId="77777777" w:rsidR="0033454E" w:rsidRPr="00A36476" w:rsidRDefault="0033454E" w:rsidP="004A7168">
      <w:pPr>
        <w:pStyle w:val="FSBullet1"/>
        <w:rPr>
          <w:lang w:eastAsia="en-GB"/>
        </w:rPr>
      </w:pPr>
      <w:r>
        <w:rPr>
          <w:lang w:eastAsia="en-GB"/>
        </w:rPr>
        <w:t>For all anti-nutrients, the means for both sprayed and unsprayed MS11 fell within the tolerance interval of the reference varieties and, where available, within the literature range.</w:t>
      </w:r>
    </w:p>
    <w:p w14:paraId="532FB3CD" w14:textId="77777777" w:rsidR="0033454E" w:rsidRPr="004A0A3F" w:rsidRDefault="0033454E" w:rsidP="0033454E">
      <w:pPr>
        <w:rPr>
          <w:lang w:val="en-AU" w:bidi="ar-SA"/>
        </w:rPr>
      </w:pPr>
    </w:p>
    <w:p w14:paraId="4D576BAC" w14:textId="77777777" w:rsidR="004A7168" w:rsidRDefault="004A7168" w:rsidP="004A7168">
      <w:pPr>
        <w:widowControl/>
        <w:rPr>
          <w:b/>
          <w:szCs w:val="22"/>
        </w:rPr>
      </w:pPr>
    </w:p>
    <w:p w14:paraId="4FFB9CDD" w14:textId="77777777" w:rsidR="004A7168" w:rsidRDefault="004A7168">
      <w:pPr>
        <w:widowControl/>
        <w:rPr>
          <w:b/>
          <w:szCs w:val="22"/>
        </w:rPr>
      </w:pPr>
      <w:r>
        <w:rPr>
          <w:b/>
          <w:szCs w:val="22"/>
        </w:rPr>
        <w:br w:type="page"/>
      </w:r>
    </w:p>
    <w:p w14:paraId="092D3878" w14:textId="2DCA967A" w:rsidR="0033454E" w:rsidRDefault="0033454E" w:rsidP="004A7168">
      <w:pPr>
        <w:widowControl/>
        <w:rPr>
          <w:szCs w:val="22"/>
        </w:rPr>
      </w:pPr>
      <w:bookmarkStart w:id="45" w:name="_Toc481574645"/>
      <w:r w:rsidRPr="004A7168">
        <w:rPr>
          <w:b/>
          <w:szCs w:val="22"/>
        </w:rPr>
        <w:lastRenderedPageBreak/>
        <w:t xml:space="preserve">Table </w:t>
      </w:r>
      <w:r w:rsidRPr="004A7168">
        <w:rPr>
          <w:b/>
          <w:szCs w:val="22"/>
        </w:rPr>
        <w:fldChar w:fldCharType="begin"/>
      </w:r>
      <w:r w:rsidRPr="004A7168">
        <w:rPr>
          <w:b/>
          <w:szCs w:val="22"/>
        </w:rPr>
        <w:instrText xml:space="preserve"> SEQ Table \* ARABIC </w:instrText>
      </w:r>
      <w:r w:rsidRPr="004A7168">
        <w:rPr>
          <w:b/>
          <w:szCs w:val="22"/>
        </w:rPr>
        <w:fldChar w:fldCharType="separate"/>
      </w:r>
      <w:r w:rsidR="007D76F3" w:rsidRPr="004A7168">
        <w:rPr>
          <w:b/>
          <w:noProof/>
          <w:szCs w:val="22"/>
        </w:rPr>
        <w:t>10</w:t>
      </w:r>
      <w:r w:rsidRPr="004A7168">
        <w:rPr>
          <w:b/>
          <w:szCs w:val="22"/>
        </w:rPr>
        <w:fldChar w:fldCharType="end"/>
      </w:r>
      <w:r w:rsidRPr="004A7168">
        <w:rPr>
          <w:b/>
          <w:szCs w:val="22"/>
        </w:rPr>
        <w:t>: Mean ±SD anti-nutrient levels in seed from MS11 and the N90-740 control collected from nine locations</w:t>
      </w:r>
      <w:bookmarkEnd w:id="45"/>
    </w:p>
    <w:p w14:paraId="787A10A2" w14:textId="77777777" w:rsidR="00EC65B9" w:rsidRPr="00C63B93" w:rsidRDefault="00EC65B9" w:rsidP="00EC65B9">
      <w:pPr>
        <w:widowControl/>
        <w:rPr>
          <w:szCs w:val="22"/>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134"/>
        <w:gridCol w:w="1418"/>
        <w:gridCol w:w="1188"/>
        <w:gridCol w:w="851"/>
        <w:gridCol w:w="992"/>
        <w:gridCol w:w="1276"/>
        <w:gridCol w:w="1107"/>
      </w:tblGrid>
      <w:tr w:rsidR="00EC65B9" w:rsidRPr="00420FFA" w14:paraId="676F12C8" w14:textId="77777777" w:rsidTr="00924275">
        <w:trPr>
          <w:trHeight w:val="880"/>
          <w:tblHeader/>
          <w:jc w:val="center"/>
        </w:trPr>
        <w:tc>
          <w:tcPr>
            <w:tcW w:w="1448" w:type="dxa"/>
            <w:shd w:val="clear" w:color="auto" w:fill="9BBB59" w:themeFill="accent3"/>
            <w:noWrap/>
            <w:vAlign w:val="center"/>
          </w:tcPr>
          <w:p w14:paraId="7DDD128E" w14:textId="77777777" w:rsidR="00EC65B9" w:rsidRPr="004A7168" w:rsidRDefault="00EC65B9" w:rsidP="00924275">
            <w:pPr>
              <w:rPr>
                <w:rFonts w:cs="Arial"/>
                <w:b/>
                <w:bCs/>
                <w:color w:val="FFFFFF" w:themeColor="background1"/>
                <w:sz w:val="18"/>
                <w:szCs w:val="18"/>
              </w:rPr>
            </w:pPr>
            <w:r w:rsidRPr="004A7168">
              <w:rPr>
                <w:rFonts w:cs="Arial"/>
                <w:b/>
                <w:bCs/>
                <w:color w:val="FFFFFF" w:themeColor="background1"/>
                <w:sz w:val="18"/>
                <w:szCs w:val="18"/>
              </w:rPr>
              <w:t>Anti-nutrient</w:t>
            </w:r>
          </w:p>
        </w:tc>
        <w:tc>
          <w:tcPr>
            <w:tcW w:w="1134" w:type="dxa"/>
            <w:shd w:val="clear" w:color="auto" w:fill="9BBB59" w:themeFill="accent3"/>
            <w:vAlign w:val="center"/>
          </w:tcPr>
          <w:p w14:paraId="251DCD98" w14:textId="77777777" w:rsidR="00EC65B9" w:rsidRPr="004A7168" w:rsidRDefault="00EC65B9" w:rsidP="00924275">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 xml:space="preserve">N90-740 </w:t>
            </w:r>
          </w:p>
          <w:p w14:paraId="03650B60" w14:textId="77777777" w:rsidR="00EC65B9" w:rsidRPr="004A7168" w:rsidRDefault="00EC65B9" w:rsidP="00924275">
            <w:pPr>
              <w:jc w:val="center"/>
              <w:rPr>
                <w:rFonts w:cs="Arial"/>
                <w:b/>
                <w:bCs/>
                <w:color w:val="FFFFFF" w:themeColor="background1"/>
                <w:sz w:val="18"/>
                <w:szCs w:val="18"/>
              </w:rPr>
            </w:pPr>
            <w:r w:rsidRPr="004A7168">
              <w:rPr>
                <w:rFonts w:eastAsiaTheme="minorHAnsi" w:cs="Arial"/>
                <w:b/>
                <w:color w:val="FFFFFF" w:themeColor="background1"/>
                <w:sz w:val="18"/>
                <w:szCs w:val="18"/>
              </w:rPr>
              <w:t>(A)</w:t>
            </w:r>
          </w:p>
        </w:tc>
        <w:tc>
          <w:tcPr>
            <w:tcW w:w="1418" w:type="dxa"/>
            <w:shd w:val="clear" w:color="auto" w:fill="9BBB59" w:themeFill="accent3"/>
            <w:vAlign w:val="center"/>
          </w:tcPr>
          <w:p w14:paraId="56721C78" w14:textId="77777777" w:rsidR="00EC65B9" w:rsidRPr="004A7168" w:rsidRDefault="00EC65B9" w:rsidP="00924275">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MS11 unsprayed (B)</w:t>
            </w:r>
          </w:p>
        </w:tc>
        <w:tc>
          <w:tcPr>
            <w:tcW w:w="1188" w:type="dxa"/>
            <w:shd w:val="clear" w:color="auto" w:fill="9BBB59" w:themeFill="accent3"/>
            <w:vAlign w:val="center"/>
          </w:tcPr>
          <w:p w14:paraId="72BB0314"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 xml:space="preserve">MS11 sprayed </w:t>
            </w:r>
          </w:p>
          <w:p w14:paraId="0B720E28"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(C)</w:t>
            </w:r>
          </w:p>
        </w:tc>
        <w:tc>
          <w:tcPr>
            <w:tcW w:w="851" w:type="dxa"/>
            <w:shd w:val="clear" w:color="auto" w:fill="9BBB59" w:themeFill="accent3"/>
            <w:vAlign w:val="center"/>
          </w:tcPr>
          <w:p w14:paraId="3195B99F"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p-value</w:t>
            </w:r>
          </w:p>
          <w:p w14:paraId="57FEDF3A" w14:textId="77777777" w:rsidR="00EC65B9" w:rsidRPr="004A7168" w:rsidRDefault="00EC65B9" w:rsidP="00924275">
            <w:pPr>
              <w:jc w:val="center"/>
              <w:rPr>
                <w:rFonts w:cs="Arial"/>
                <w:b/>
                <w:bCs/>
                <w:color w:val="FFFFFF" w:themeColor="background1"/>
                <w:sz w:val="18"/>
                <w:szCs w:val="18"/>
                <w:vertAlign w:val="superscript"/>
              </w:rPr>
            </w:pPr>
            <w:r w:rsidRPr="004A7168">
              <w:rPr>
                <w:rFonts w:cs="Arial"/>
                <w:b/>
                <w:bCs/>
                <w:color w:val="FFFFFF" w:themeColor="background1"/>
                <w:sz w:val="18"/>
                <w:szCs w:val="18"/>
              </w:rPr>
              <w:t xml:space="preserve"> A vs B</w:t>
            </w:r>
          </w:p>
        </w:tc>
        <w:tc>
          <w:tcPr>
            <w:tcW w:w="992" w:type="dxa"/>
            <w:shd w:val="clear" w:color="auto" w:fill="9BBB59" w:themeFill="accent3"/>
            <w:vAlign w:val="center"/>
          </w:tcPr>
          <w:p w14:paraId="67C6A56F" w14:textId="77777777" w:rsidR="00EC65B9" w:rsidRPr="004A7168" w:rsidRDefault="00EC65B9" w:rsidP="00924275">
            <w:pPr>
              <w:jc w:val="center"/>
              <w:rPr>
                <w:rFonts w:cs="Arial"/>
                <w:b/>
                <w:bCs/>
                <w:color w:val="FFFFFF" w:themeColor="background1"/>
                <w:sz w:val="18"/>
                <w:szCs w:val="18"/>
                <w:vertAlign w:val="superscript"/>
              </w:rPr>
            </w:pPr>
            <w:r w:rsidRPr="004A7168">
              <w:rPr>
                <w:rFonts w:cs="Arial"/>
                <w:b/>
                <w:bCs/>
                <w:color w:val="FFFFFF" w:themeColor="background1"/>
                <w:sz w:val="18"/>
                <w:szCs w:val="18"/>
              </w:rPr>
              <w:t>p-value</w:t>
            </w:r>
            <w:r w:rsidRPr="004A7168">
              <w:rPr>
                <w:rFonts w:cs="Arial"/>
                <w:b/>
                <w:bCs/>
                <w:color w:val="FFFFFF" w:themeColor="background1"/>
                <w:sz w:val="18"/>
                <w:szCs w:val="18"/>
                <w:vertAlign w:val="superscript"/>
              </w:rPr>
              <w:t>1</w:t>
            </w:r>
          </w:p>
          <w:p w14:paraId="4AC58CB5"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A vs C</w:t>
            </w:r>
          </w:p>
        </w:tc>
        <w:tc>
          <w:tcPr>
            <w:tcW w:w="1276" w:type="dxa"/>
            <w:shd w:val="clear" w:color="auto" w:fill="9BBB59" w:themeFill="accent3"/>
            <w:vAlign w:val="center"/>
          </w:tcPr>
          <w:p w14:paraId="17B3DF7C"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95% Tolerance interval</w:t>
            </w:r>
          </w:p>
        </w:tc>
        <w:tc>
          <w:tcPr>
            <w:tcW w:w="1107" w:type="dxa"/>
            <w:shd w:val="clear" w:color="auto" w:fill="9BBB59" w:themeFill="accent3"/>
            <w:vAlign w:val="center"/>
          </w:tcPr>
          <w:p w14:paraId="6A9168D1"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Combined literature</w:t>
            </w:r>
            <w:r w:rsidRPr="004A7168">
              <w:rPr>
                <w:rFonts w:cs="Arial"/>
                <w:b/>
                <w:bCs/>
                <w:color w:val="FFFFFF" w:themeColor="background1"/>
                <w:sz w:val="18"/>
                <w:szCs w:val="18"/>
              </w:rPr>
              <w:br/>
              <w:t xml:space="preserve">range </w:t>
            </w:r>
          </w:p>
        </w:tc>
      </w:tr>
      <w:tr w:rsidR="00EC65B9" w:rsidRPr="00420FFA" w14:paraId="168205FD" w14:textId="77777777" w:rsidTr="00924275">
        <w:trPr>
          <w:trHeight w:val="510"/>
          <w:jc w:val="center"/>
        </w:trPr>
        <w:tc>
          <w:tcPr>
            <w:tcW w:w="1448" w:type="dxa"/>
            <w:shd w:val="clear" w:color="auto" w:fill="FFFFFF" w:themeFill="background1"/>
            <w:noWrap/>
            <w:vAlign w:val="center"/>
          </w:tcPr>
          <w:p w14:paraId="2B308256"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4-Hydroxygluco-brassicin</w:t>
            </w:r>
          </w:p>
          <w:p w14:paraId="7F04E47F"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(μmol/g dw)</w:t>
            </w:r>
          </w:p>
        </w:tc>
        <w:tc>
          <w:tcPr>
            <w:tcW w:w="1134" w:type="dxa"/>
            <w:shd w:val="clear" w:color="auto" w:fill="FFFFFF" w:themeFill="background1"/>
            <w:vAlign w:val="center"/>
          </w:tcPr>
          <w:p w14:paraId="79BED25F"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3.93±0.92</w:t>
            </w:r>
          </w:p>
        </w:tc>
        <w:tc>
          <w:tcPr>
            <w:tcW w:w="1418" w:type="dxa"/>
            <w:shd w:val="clear" w:color="auto" w:fill="FFFFFF" w:themeFill="background1"/>
            <w:vAlign w:val="center"/>
          </w:tcPr>
          <w:p w14:paraId="289978A1"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4.08±1.03</w:t>
            </w:r>
          </w:p>
        </w:tc>
        <w:tc>
          <w:tcPr>
            <w:tcW w:w="1188" w:type="dxa"/>
            <w:shd w:val="clear" w:color="auto" w:fill="FFFFFF" w:themeFill="background1"/>
            <w:vAlign w:val="center"/>
          </w:tcPr>
          <w:p w14:paraId="22B5848B" w14:textId="77777777" w:rsidR="00EC65B9" w:rsidRPr="0020253F" w:rsidRDefault="00EC65B9" w:rsidP="00924275">
            <w:pPr>
              <w:jc w:val="center"/>
              <w:rPr>
                <w:rFonts w:cs="Arial"/>
                <w:color w:val="000000" w:themeColor="text1"/>
                <w:sz w:val="16"/>
                <w:szCs w:val="16"/>
                <w:vertAlign w:val="superscript"/>
              </w:rPr>
            </w:pPr>
            <w:r w:rsidRPr="0020253F">
              <w:rPr>
                <w:rFonts w:cs="Arial"/>
                <w:color w:val="000000" w:themeColor="text1"/>
                <w:sz w:val="16"/>
                <w:szCs w:val="16"/>
              </w:rPr>
              <w:t>4.19±1.07</w:t>
            </w:r>
          </w:p>
        </w:tc>
        <w:tc>
          <w:tcPr>
            <w:tcW w:w="851" w:type="dxa"/>
            <w:shd w:val="clear" w:color="auto" w:fill="FFFFFF" w:themeFill="background1"/>
            <w:vAlign w:val="center"/>
          </w:tcPr>
          <w:p w14:paraId="28AA89FC" w14:textId="77777777" w:rsidR="00EC65B9" w:rsidRPr="0020253F" w:rsidRDefault="00EC65B9" w:rsidP="00924275">
            <w:pPr>
              <w:jc w:val="center"/>
              <w:rPr>
                <w:rFonts w:cs="Arial"/>
                <w:color w:val="000000" w:themeColor="text1"/>
                <w:sz w:val="16"/>
                <w:szCs w:val="16"/>
                <w:vertAlign w:val="superscript"/>
              </w:rPr>
            </w:pPr>
            <w:r w:rsidRPr="0020253F">
              <w:rPr>
                <w:rFonts w:cs="Arial"/>
                <w:color w:val="000000" w:themeColor="text1"/>
                <w:sz w:val="16"/>
                <w:szCs w:val="16"/>
              </w:rPr>
              <w:t>0.520</w:t>
            </w:r>
          </w:p>
        </w:tc>
        <w:tc>
          <w:tcPr>
            <w:tcW w:w="992" w:type="dxa"/>
            <w:shd w:val="clear" w:color="auto" w:fill="FFFFFF" w:themeFill="background1"/>
            <w:vAlign w:val="center"/>
          </w:tcPr>
          <w:p w14:paraId="317C58F2"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0.284</w:t>
            </w:r>
          </w:p>
        </w:tc>
        <w:tc>
          <w:tcPr>
            <w:tcW w:w="1276" w:type="dxa"/>
            <w:shd w:val="clear" w:color="auto" w:fill="FFFFFF" w:themeFill="background1"/>
            <w:vAlign w:val="center"/>
          </w:tcPr>
          <w:p w14:paraId="0A6D11EF"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1.96 , 7.28</w:t>
            </w:r>
          </w:p>
        </w:tc>
        <w:tc>
          <w:tcPr>
            <w:tcW w:w="1107" w:type="dxa"/>
            <w:shd w:val="clear" w:color="auto" w:fill="FFFFFF" w:themeFill="background1"/>
            <w:noWrap/>
            <w:vAlign w:val="center"/>
          </w:tcPr>
          <w:p w14:paraId="1555C562" w14:textId="77777777" w:rsidR="00EC65B9" w:rsidRPr="0020253F" w:rsidRDefault="00EC65B9" w:rsidP="00924275">
            <w:pPr>
              <w:jc w:val="center"/>
              <w:rPr>
                <w:rFonts w:cs="Arial"/>
                <w:color w:val="000000" w:themeColor="text1"/>
                <w:sz w:val="16"/>
                <w:szCs w:val="16"/>
              </w:rPr>
            </w:pPr>
          </w:p>
        </w:tc>
      </w:tr>
      <w:tr w:rsidR="00EC65B9" w:rsidRPr="00420FFA" w14:paraId="5BCFF6CD" w14:textId="77777777" w:rsidTr="00924275">
        <w:trPr>
          <w:trHeight w:val="510"/>
          <w:jc w:val="center"/>
        </w:trPr>
        <w:tc>
          <w:tcPr>
            <w:tcW w:w="1448" w:type="dxa"/>
            <w:shd w:val="clear" w:color="auto" w:fill="EAF1DD" w:themeFill="accent3" w:themeFillTint="33"/>
            <w:noWrap/>
            <w:vAlign w:val="center"/>
          </w:tcPr>
          <w:p w14:paraId="152C7608"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Glucobrassicin (μmol/g dw)</w:t>
            </w:r>
          </w:p>
        </w:tc>
        <w:tc>
          <w:tcPr>
            <w:tcW w:w="1134" w:type="dxa"/>
            <w:shd w:val="clear" w:color="auto" w:fill="EAF1DD" w:themeFill="accent3" w:themeFillTint="33"/>
            <w:vAlign w:val="center"/>
          </w:tcPr>
          <w:p w14:paraId="65B8D072"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0.391±0.222</w:t>
            </w:r>
          </w:p>
        </w:tc>
        <w:tc>
          <w:tcPr>
            <w:tcW w:w="1418" w:type="dxa"/>
            <w:shd w:val="clear" w:color="auto" w:fill="EAF1DD" w:themeFill="accent3" w:themeFillTint="33"/>
            <w:vAlign w:val="center"/>
          </w:tcPr>
          <w:p w14:paraId="7E218073"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0.425±0.204</w:t>
            </w:r>
          </w:p>
        </w:tc>
        <w:tc>
          <w:tcPr>
            <w:tcW w:w="1188" w:type="dxa"/>
            <w:shd w:val="clear" w:color="auto" w:fill="EAF1DD" w:themeFill="accent3" w:themeFillTint="33"/>
            <w:vAlign w:val="center"/>
          </w:tcPr>
          <w:p w14:paraId="6649B037"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0.479±0.219</w:t>
            </w:r>
          </w:p>
        </w:tc>
        <w:tc>
          <w:tcPr>
            <w:tcW w:w="851" w:type="dxa"/>
            <w:shd w:val="clear" w:color="auto" w:fill="EAF1DD" w:themeFill="accent3" w:themeFillTint="33"/>
            <w:vAlign w:val="center"/>
          </w:tcPr>
          <w:p w14:paraId="33FA124F"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0.516</w:t>
            </w:r>
          </w:p>
        </w:tc>
        <w:tc>
          <w:tcPr>
            <w:tcW w:w="992" w:type="dxa"/>
            <w:shd w:val="clear" w:color="auto" w:fill="EAF1DD" w:themeFill="accent3" w:themeFillTint="33"/>
            <w:vAlign w:val="center"/>
          </w:tcPr>
          <w:p w14:paraId="1B9D42DC"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0.177</w:t>
            </w:r>
          </w:p>
        </w:tc>
        <w:tc>
          <w:tcPr>
            <w:tcW w:w="1276" w:type="dxa"/>
            <w:shd w:val="clear" w:color="auto" w:fill="EAF1DD" w:themeFill="accent3" w:themeFillTint="33"/>
            <w:vAlign w:val="center"/>
          </w:tcPr>
          <w:p w14:paraId="7B1AA372"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0, 1.364</w:t>
            </w:r>
          </w:p>
        </w:tc>
        <w:tc>
          <w:tcPr>
            <w:tcW w:w="1107" w:type="dxa"/>
            <w:shd w:val="clear" w:color="auto" w:fill="EAF1DD" w:themeFill="accent3" w:themeFillTint="33"/>
            <w:noWrap/>
            <w:vAlign w:val="center"/>
          </w:tcPr>
          <w:p w14:paraId="47FD4F17" w14:textId="77777777" w:rsidR="00EC65B9" w:rsidRPr="0020253F" w:rsidRDefault="00EC65B9" w:rsidP="00924275">
            <w:pPr>
              <w:jc w:val="center"/>
              <w:rPr>
                <w:rFonts w:cs="Arial"/>
                <w:color w:val="000000" w:themeColor="text1"/>
                <w:sz w:val="16"/>
                <w:szCs w:val="16"/>
              </w:rPr>
            </w:pPr>
          </w:p>
        </w:tc>
      </w:tr>
      <w:tr w:rsidR="00EC65B9" w:rsidRPr="00420FFA" w14:paraId="11687BA9" w14:textId="77777777" w:rsidTr="00924275">
        <w:trPr>
          <w:trHeight w:val="510"/>
          <w:jc w:val="center"/>
        </w:trPr>
        <w:tc>
          <w:tcPr>
            <w:tcW w:w="1448" w:type="dxa"/>
            <w:shd w:val="clear" w:color="auto" w:fill="auto"/>
            <w:noWrap/>
            <w:vAlign w:val="center"/>
          </w:tcPr>
          <w:p w14:paraId="543C0152"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Gluconapin</w:t>
            </w:r>
          </w:p>
          <w:p w14:paraId="1D0B8161"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(μmol/g dw)</w:t>
            </w:r>
          </w:p>
        </w:tc>
        <w:tc>
          <w:tcPr>
            <w:tcW w:w="1134" w:type="dxa"/>
            <w:shd w:val="clear" w:color="auto" w:fill="auto"/>
            <w:vAlign w:val="center"/>
          </w:tcPr>
          <w:p w14:paraId="5D6F30DE"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2.09±0.85</w:t>
            </w:r>
          </w:p>
        </w:tc>
        <w:tc>
          <w:tcPr>
            <w:tcW w:w="1418" w:type="dxa"/>
            <w:shd w:val="clear" w:color="auto" w:fill="FDE9D9" w:themeFill="accent6" w:themeFillTint="33"/>
            <w:vAlign w:val="center"/>
          </w:tcPr>
          <w:p w14:paraId="0DB28B32"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2.69±1.11</w:t>
            </w:r>
          </w:p>
        </w:tc>
        <w:tc>
          <w:tcPr>
            <w:tcW w:w="1188" w:type="dxa"/>
            <w:shd w:val="clear" w:color="auto" w:fill="FDE9D9" w:themeFill="accent6" w:themeFillTint="33"/>
            <w:vAlign w:val="center"/>
          </w:tcPr>
          <w:p w14:paraId="1592A8C6" w14:textId="77777777" w:rsidR="00EC65B9" w:rsidRPr="0020253F" w:rsidRDefault="00EC65B9" w:rsidP="00924275">
            <w:pPr>
              <w:jc w:val="center"/>
              <w:rPr>
                <w:rFonts w:cs="Arial"/>
                <w:color w:val="000000" w:themeColor="text1"/>
                <w:sz w:val="16"/>
                <w:szCs w:val="16"/>
                <w:vertAlign w:val="superscript"/>
              </w:rPr>
            </w:pPr>
            <w:r w:rsidRPr="0020253F">
              <w:rPr>
                <w:rFonts w:cs="Arial"/>
                <w:color w:val="000000" w:themeColor="text1"/>
                <w:sz w:val="16"/>
                <w:szCs w:val="16"/>
              </w:rPr>
              <w:t>2.99±1.16</w:t>
            </w:r>
            <w:r w:rsidRPr="0020253F">
              <w:rPr>
                <w:rFonts w:cs="Arial"/>
                <w:color w:val="000000" w:themeColor="text1"/>
                <w:sz w:val="16"/>
                <w:szCs w:val="16"/>
                <w:vertAlign w:val="superscript"/>
              </w:rPr>
              <w:t>2</w:t>
            </w:r>
          </w:p>
        </w:tc>
        <w:tc>
          <w:tcPr>
            <w:tcW w:w="851" w:type="dxa"/>
            <w:shd w:val="clear" w:color="auto" w:fill="auto"/>
            <w:vAlign w:val="center"/>
          </w:tcPr>
          <w:p w14:paraId="366182D5" w14:textId="77777777" w:rsidR="00EC65B9" w:rsidRPr="0020253F" w:rsidRDefault="00EC65B9" w:rsidP="00924275">
            <w:pPr>
              <w:jc w:val="center"/>
              <w:rPr>
                <w:rFonts w:cs="Arial"/>
                <w:b/>
                <w:color w:val="000000" w:themeColor="text1"/>
                <w:sz w:val="16"/>
                <w:szCs w:val="16"/>
                <w:u w:val="single"/>
              </w:rPr>
            </w:pPr>
            <w:r w:rsidRPr="0020253F">
              <w:rPr>
                <w:rFonts w:cs="Arial"/>
                <w:b/>
                <w:color w:val="000000" w:themeColor="text1"/>
                <w:sz w:val="16"/>
                <w:szCs w:val="16"/>
                <w:u w:val="single"/>
              </w:rPr>
              <w:t>0.013</w:t>
            </w:r>
          </w:p>
        </w:tc>
        <w:tc>
          <w:tcPr>
            <w:tcW w:w="992" w:type="dxa"/>
            <w:shd w:val="clear" w:color="auto" w:fill="auto"/>
            <w:vAlign w:val="center"/>
          </w:tcPr>
          <w:p w14:paraId="55E4E31E" w14:textId="77777777" w:rsidR="00EC65B9" w:rsidRPr="0020253F" w:rsidRDefault="00EC65B9" w:rsidP="00924275">
            <w:pPr>
              <w:jc w:val="center"/>
              <w:rPr>
                <w:rFonts w:cs="Arial"/>
                <w:b/>
                <w:color w:val="000000" w:themeColor="text1"/>
                <w:sz w:val="16"/>
                <w:szCs w:val="16"/>
                <w:u w:val="single"/>
              </w:rPr>
            </w:pPr>
            <w:r w:rsidRPr="0020253F">
              <w:rPr>
                <w:rFonts w:cs="Arial"/>
                <w:b/>
                <w:color w:val="000000" w:themeColor="text1"/>
                <w:sz w:val="16"/>
                <w:szCs w:val="16"/>
                <w:u w:val="single"/>
              </w:rPr>
              <w:t>&lt;0.001</w:t>
            </w:r>
          </w:p>
        </w:tc>
        <w:tc>
          <w:tcPr>
            <w:tcW w:w="1276" w:type="dxa"/>
            <w:shd w:val="clear" w:color="auto" w:fill="auto"/>
            <w:vAlign w:val="center"/>
          </w:tcPr>
          <w:p w14:paraId="48E9E983"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0, 5.25</w:t>
            </w:r>
          </w:p>
        </w:tc>
        <w:tc>
          <w:tcPr>
            <w:tcW w:w="1107" w:type="dxa"/>
            <w:shd w:val="clear" w:color="auto" w:fill="auto"/>
            <w:noWrap/>
            <w:vAlign w:val="center"/>
          </w:tcPr>
          <w:p w14:paraId="50B02AD8" w14:textId="77777777" w:rsidR="00EC65B9" w:rsidRPr="0020253F" w:rsidRDefault="00EC65B9" w:rsidP="00924275">
            <w:pPr>
              <w:jc w:val="center"/>
              <w:rPr>
                <w:rFonts w:cs="Arial"/>
                <w:color w:val="000000" w:themeColor="text1"/>
                <w:sz w:val="16"/>
                <w:szCs w:val="16"/>
              </w:rPr>
            </w:pPr>
          </w:p>
        </w:tc>
      </w:tr>
      <w:tr w:rsidR="00EC65B9" w:rsidRPr="00420FFA" w14:paraId="3F70CB2A" w14:textId="77777777" w:rsidTr="00924275">
        <w:trPr>
          <w:trHeight w:val="510"/>
          <w:jc w:val="center"/>
        </w:trPr>
        <w:tc>
          <w:tcPr>
            <w:tcW w:w="1448" w:type="dxa"/>
            <w:shd w:val="clear" w:color="auto" w:fill="EAF1DD" w:themeFill="accent3" w:themeFillTint="33"/>
            <w:noWrap/>
            <w:vAlign w:val="center"/>
          </w:tcPr>
          <w:p w14:paraId="705CB80A"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Progoitrin</w:t>
            </w:r>
          </w:p>
          <w:p w14:paraId="300D59EF"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(μmol/g dw)</w:t>
            </w:r>
          </w:p>
        </w:tc>
        <w:tc>
          <w:tcPr>
            <w:tcW w:w="1134" w:type="dxa"/>
            <w:shd w:val="clear" w:color="auto" w:fill="EAF1DD" w:themeFill="accent3" w:themeFillTint="33"/>
            <w:vAlign w:val="center"/>
          </w:tcPr>
          <w:p w14:paraId="0B3FFADF"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5.48±2.75</w:t>
            </w:r>
          </w:p>
        </w:tc>
        <w:tc>
          <w:tcPr>
            <w:tcW w:w="1418" w:type="dxa"/>
            <w:shd w:val="clear" w:color="auto" w:fill="EAF1DD" w:themeFill="accent3" w:themeFillTint="33"/>
            <w:vAlign w:val="center"/>
          </w:tcPr>
          <w:p w14:paraId="3087F6B5"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5.88±2.86</w:t>
            </w:r>
          </w:p>
        </w:tc>
        <w:tc>
          <w:tcPr>
            <w:tcW w:w="1188" w:type="dxa"/>
            <w:shd w:val="clear" w:color="auto" w:fill="FDE9D9" w:themeFill="accent6" w:themeFillTint="33"/>
            <w:vAlign w:val="center"/>
          </w:tcPr>
          <w:p w14:paraId="6B105258" w14:textId="77777777" w:rsidR="00EC65B9" w:rsidRPr="0020253F" w:rsidRDefault="00EC65B9" w:rsidP="00924275">
            <w:pPr>
              <w:jc w:val="center"/>
              <w:rPr>
                <w:rFonts w:cs="Arial"/>
                <w:color w:val="000000" w:themeColor="text1"/>
                <w:sz w:val="16"/>
                <w:szCs w:val="16"/>
                <w:vertAlign w:val="superscript"/>
              </w:rPr>
            </w:pPr>
            <w:r w:rsidRPr="0020253F">
              <w:rPr>
                <w:rFonts w:cs="Arial"/>
                <w:color w:val="000000" w:themeColor="text1"/>
                <w:sz w:val="16"/>
                <w:szCs w:val="16"/>
              </w:rPr>
              <w:t>7.38±3.51</w:t>
            </w:r>
            <w:r w:rsidRPr="0020253F">
              <w:rPr>
                <w:rFonts w:cs="Arial"/>
                <w:color w:val="000000" w:themeColor="text1"/>
                <w:sz w:val="16"/>
                <w:szCs w:val="16"/>
                <w:vertAlign w:val="superscript"/>
              </w:rPr>
              <w:t>2</w:t>
            </w:r>
          </w:p>
        </w:tc>
        <w:tc>
          <w:tcPr>
            <w:tcW w:w="851" w:type="dxa"/>
            <w:shd w:val="clear" w:color="auto" w:fill="EAF1DD" w:themeFill="accent3" w:themeFillTint="33"/>
            <w:vAlign w:val="center"/>
          </w:tcPr>
          <w:p w14:paraId="6C33FCF1"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0.601</w:t>
            </w:r>
          </w:p>
        </w:tc>
        <w:tc>
          <w:tcPr>
            <w:tcW w:w="992" w:type="dxa"/>
            <w:shd w:val="clear" w:color="auto" w:fill="EAF1DD" w:themeFill="accent3" w:themeFillTint="33"/>
            <w:vAlign w:val="center"/>
          </w:tcPr>
          <w:p w14:paraId="217B96E0" w14:textId="77777777" w:rsidR="00EC65B9" w:rsidRPr="0020253F" w:rsidRDefault="00EC65B9" w:rsidP="00924275">
            <w:pPr>
              <w:jc w:val="center"/>
              <w:rPr>
                <w:rFonts w:cs="Arial"/>
                <w:b/>
                <w:color w:val="000000" w:themeColor="text1"/>
                <w:sz w:val="16"/>
                <w:szCs w:val="16"/>
                <w:u w:val="single"/>
              </w:rPr>
            </w:pPr>
            <w:r w:rsidRPr="0020253F">
              <w:rPr>
                <w:rFonts w:cs="Arial"/>
                <w:b/>
                <w:color w:val="000000" w:themeColor="text1"/>
                <w:sz w:val="16"/>
                <w:szCs w:val="16"/>
                <w:u w:val="single"/>
              </w:rPr>
              <w:t>0.001</w:t>
            </w:r>
          </w:p>
        </w:tc>
        <w:tc>
          <w:tcPr>
            <w:tcW w:w="1276" w:type="dxa"/>
            <w:shd w:val="clear" w:color="auto" w:fill="EAF1DD" w:themeFill="accent3" w:themeFillTint="33"/>
            <w:vAlign w:val="center"/>
          </w:tcPr>
          <w:p w14:paraId="1D57C374"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0, 13.67</w:t>
            </w:r>
          </w:p>
        </w:tc>
        <w:tc>
          <w:tcPr>
            <w:tcW w:w="1107" w:type="dxa"/>
            <w:shd w:val="clear" w:color="auto" w:fill="EAF1DD" w:themeFill="accent3" w:themeFillTint="33"/>
            <w:noWrap/>
            <w:vAlign w:val="center"/>
          </w:tcPr>
          <w:p w14:paraId="4AF1F5D5" w14:textId="77777777" w:rsidR="00EC65B9" w:rsidRPr="0020253F" w:rsidRDefault="00EC65B9" w:rsidP="00924275">
            <w:pPr>
              <w:jc w:val="center"/>
              <w:rPr>
                <w:rFonts w:cs="Arial"/>
                <w:color w:val="000000" w:themeColor="text1"/>
                <w:sz w:val="16"/>
                <w:szCs w:val="16"/>
              </w:rPr>
            </w:pPr>
          </w:p>
        </w:tc>
      </w:tr>
      <w:tr w:rsidR="00EC65B9" w:rsidRPr="00420FFA" w14:paraId="4288B236" w14:textId="77777777" w:rsidTr="00924275">
        <w:trPr>
          <w:trHeight w:val="510"/>
          <w:jc w:val="center"/>
        </w:trPr>
        <w:tc>
          <w:tcPr>
            <w:tcW w:w="1448" w:type="dxa"/>
            <w:shd w:val="clear" w:color="auto" w:fill="auto"/>
            <w:noWrap/>
            <w:vAlign w:val="center"/>
          </w:tcPr>
          <w:p w14:paraId="652EDB7A"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Total glucosinolates</w:t>
            </w:r>
          </w:p>
          <w:p w14:paraId="51A6D3A0"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(μmol/g dw)</w:t>
            </w:r>
          </w:p>
        </w:tc>
        <w:tc>
          <w:tcPr>
            <w:tcW w:w="1134" w:type="dxa"/>
            <w:shd w:val="clear" w:color="auto" w:fill="auto"/>
            <w:vAlign w:val="center"/>
          </w:tcPr>
          <w:p w14:paraId="08118815"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12.3±4.1</w:t>
            </w:r>
          </w:p>
        </w:tc>
        <w:tc>
          <w:tcPr>
            <w:tcW w:w="1418" w:type="dxa"/>
            <w:shd w:val="clear" w:color="auto" w:fill="auto"/>
            <w:vAlign w:val="center"/>
          </w:tcPr>
          <w:p w14:paraId="239E30C6"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13.7±4.2</w:t>
            </w:r>
          </w:p>
        </w:tc>
        <w:tc>
          <w:tcPr>
            <w:tcW w:w="1188" w:type="dxa"/>
            <w:shd w:val="clear" w:color="auto" w:fill="FDE9D9" w:themeFill="accent6" w:themeFillTint="33"/>
            <w:vAlign w:val="center"/>
          </w:tcPr>
          <w:p w14:paraId="06C1D6AD" w14:textId="77777777" w:rsidR="00EC65B9" w:rsidRPr="0020253F" w:rsidRDefault="00EC65B9" w:rsidP="00924275">
            <w:pPr>
              <w:jc w:val="center"/>
              <w:rPr>
                <w:rFonts w:cs="Arial"/>
                <w:color w:val="000000" w:themeColor="text1"/>
                <w:sz w:val="16"/>
                <w:szCs w:val="16"/>
                <w:vertAlign w:val="superscript"/>
              </w:rPr>
            </w:pPr>
            <w:r w:rsidRPr="0020253F">
              <w:rPr>
                <w:rFonts w:cs="Arial"/>
                <w:color w:val="000000" w:themeColor="text1"/>
                <w:sz w:val="16"/>
                <w:szCs w:val="16"/>
              </w:rPr>
              <w:t>15.8±4.8</w:t>
            </w:r>
            <w:r w:rsidRPr="0020253F">
              <w:rPr>
                <w:rFonts w:cs="Arial"/>
                <w:color w:val="000000" w:themeColor="text1"/>
                <w:sz w:val="16"/>
                <w:szCs w:val="16"/>
                <w:vertAlign w:val="superscript"/>
              </w:rPr>
              <w:t>2</w:t>
            </w:r>
          </w:p>
        </w:tc>
        <w:tc>
          <w:tcPr>
            <w:tcW w:w="851" w:type="dxa"/>
            <w:shd w:val="clear" w:color="auto" w:fill="auto"/>
            <w:vAlign w:val="center"/>
          </w:tcPr>
          <w:p w14:paraId="55556DE8"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0.179</w:t>
            </w:r>
          </w:p>
        </w:tc>
        <w:tc>
          <w:tcPr>
            <w:tcW w:w="992" w:type="dxa"/>
            <w:shd w:val="clear" w:color="auto" w:fill="auto"/>
            <w:vAlign w:val="center"/>
          </w:tcPr>
          <w:p w14:paraId="49664CED" w14:textId="77777777" w:rsidR="00EC65B9" w:rsidRPr="0020253F" w:rsidRDefault="00EC65B9" w:rsidP="00924275">
            <w:pPr>
              <w:jc w:val="center"/>
              <w:rPr>
                <w:rFonts w:cs="Arial"/>
                <w:b/>
                <w:color w:val="000000" w:themeColor="text1"/>
                <w:sz w:val="16"/>
                <w:szCs w:val="16"/>
                <w:u w:val="single"/>
              </w:rPr>
            </w:pPr>
            <w:r w:rsidRPr="0020253F">
              <w:rPr>
                <w:rFonts w:cs="Arial"/>
                <w:b/>
                <w:color w:val="000000" w:themeColor="text1"/>
                <w:sz w:val="16"/>
                <w:szCs w:val="16"/>
                <w:u w:val="single"/>
              </w:rPr>
              <w:t>&lt;0.001</w:t>
            </w:r>
          </w:p>
        </w:tc>
        <w:tc>
          <w:tcPr>
            <w:tcW w:w="1276" w:type="dxa"/>
            <w:shd w:val="clear" w:color="auto" w:fill="auto"/>
            <w:vAlign w:val="center"/>
          </w:tcPr>
          <w:p w14:paraId="74A1EC4C"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0.673, 26.6</w:t>
            </w:r>
          </w:p>
        </w:tc>
        <w:tc>
          <w:tcPr>
            <w:tcW w:w="1107" w:type="dxa"/>
            <w:shd w:val="clear" w:color="auto" w:fill="auto"/>
            <w:noWrap/>
            <w:vAlign w:val="center"/>
          </w:tcPr>
          <w:p w14:paraId="02F31567"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1 - 28</w:t>
            </w:r>
          </w:p>
        </w:tc>
      </w:tr>
      <w:tr w:rsidR="00EC65B9" w:rsidRPr="00420FFA" w14:paraId="043BB780" w14:textId="77777777" w:rsidTr="00924275">
        <w:trPr>
          <w:trHeight w:val="510"/>
          <w:jc w:val="center"/>
        </w:trPr>
        <w:tc>
          <w:tcPr>
            <w:tcW w:w="1448" w:type="dxa"/>
            <w:shd w:val="clear" w:color="auto" w:fill="EAF1DD" w:themeFill="accent3" w:themeFillTint="33"/>
            <w:noWrap/>
            <w:vAlign w:val="center"/>
          </w:tcPr>
          <w:p w14:paraId="11299864"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Phytic acid</w:t>
            </w:r>
          </w:p>
          <w:p w14:paraId="03C7E57C"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EAF1DD" w:themeFill="accent3" w:themeFillTint="33"/>
            <w:vAlign w:val="center"/>
          </w:tcPr>
          <w:p w14:paraId="26BB7F85"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2.11±0.43</w:t>
            </w:r>
          </w:p>
        </w:tc>
        <w:tc>
          <w:tcPr>
            <w:tcW w:w="1418" w:type="dxa"/>
            <w:shd w:val="clear" w:color="auto" w:fill="EAF1DD" w:themeFill="accent3" w:themeFillTint="33"/>
            <w:vAlign w:val="center"/>
          </w:tcPr>
          <w:p w14:paraId="0217D102"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2.18±0.46</w:t>
            </w:r>
          </w:p>
        </w:tc>
        <w:tc>
          <w:tcPr>
            <w:tcW w:w="1188" w:type="dxa"/>
            <w:shd w:val="clear" w:color="auto" w:fill="EAF1DD" w:themeFill="accent3" w:themeFillTint="33"/>
            <w:vAlign w:val="center"/>
          </w:tcPr>
          <w:p w14:paraId="66B9FC56" w14:textId="77777777" w:rsidR="00EC65B9" w:rsidRPr="0020253F" w:rsidRDefault="00EC65B9" w:rsidP="00924275">
            <w:pPr>
              <w:jc w:val="center"/>
              <w:rPr>
                <w:rFonts w:cs="Arial"/>
                <w:color w:val="000000" w:themeColor="text1"/>
                <w:sz w:val="16"/>
                <w:szCs w:val="16"/>
                <w:vertAlign w:val="superscript"/>
              </w:rPr>
            </w:pPr>
            <w:r w:rsidRPr="0020253F">
              <w:rPr>
                <w:rFonts w:cs="Arial"/>
                <w:color w:val="000000" w:themeColor="text1"/>
                <w:sz w:val="16"/>
                <w:szCs w:val="16"/>
              </w:rPr>
              <w:t>2.29±0.30</w:t>
            </w:r>
          </w:p>
        </w:tc>
        <w:tc>
          <w:tcPr>
            <w:tcW w:w="851" w:type="dxa"/>
            <w:shd w:val="clear" w:color="auto" w:fill="EAF1DD" w:themeFill="accent3" w:themeFillTint="33"/>
            <w:vAlign w:val="center"/>
          </w:tcPr>
          <w:p w14:paraId="08125B72"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0.698</w:t>
            </w:r>
          </w:p>
        </w:tc>
        <w:tc>
          <w:tcPr>
            <w:tcW w:w="992" w:type="dxa"/>
            <w:shd w:val="clear" w:color="auto" w:fill="EAF1DD" w:themeFill="accent3" w:themeFillTint="33"/>
            <w:vAlign w:val="center"/>
          </w:tcPr>
          <w:p w14:paraId="434AD39E"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0.051</w:t>
            </w:r>
          </w:p>
        </w:tc>
        <w:tc>
          <w:tcPr>
            <w:tcW w:w="1276" w:type="dxa"/>
            <w:shd w:val="clear" w:color="auto" w:fill="EAF1DD" w:themeFill="accent3" w:themeFillTint="33"/>
            <w:vAlign w:val="center"/>
          </w:tcPr>
          <w:p w14:paraId="28A53EE0"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0.31, 3.78</w:t>
            </w:r>
          </w:p>
        </w:tc>
        <w:tc>
          <w:tcPr>
            <w:tcW w:w="1107" w:type="dxa"/>
            <w:shd w:val="clear" w:color="auto" w:fill="EAF1DD" w:themeFill="accent3" w:themeFillTint="33"/>
            <w:noWrap/>
            <w:vAlign w:val="center"/>
          </w:tcPr>
          <w:p w14:paraId="6669CF1F" w14:textId="77777777" w:rsidR="00EC65B9" w:rsidRPr="0020253F" w:rsidRDefault="00EC65B9" w:rsidP="00924275">
            <w:pPr>
              <w:jc w:val="center"/>
              <w:rPr>
                <w:rFonts w:cs="Arial"/>
                <w:color w:val="000000" w:themeColor="text1"/>
                <w:sz w:val="16"/>
                <w:szCs w:val="16"/>
              </w:rPr>
            </w:pPr>
          </w:p>
        </w:tc>
      </w:tr>
      <w:tr w:rsidR="00EC65B9" w:rsidRPr="00420FFA" w14:paraId="49BE032C" w14:textId="77777777" w:rsidTr="00924275">
        <w:trPr>
          <w:trHeight w:val="510"/>
          <w:jc w:val="center"/>
        </w:trPr>
        <w:tc>
          <w:tcPr>
            <w:tcW w:w="1448" w:type="dxa"/>
            <w:shd w:val="clear" w:color="auto" w:fill="auto"/>
            <w:noWrap/>
            <w:vAlign w:val="center"/>
          </w:tcPr>
          <w:p w14:paraId="01FB57CF"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Sinapine</w:t>
            </w:r>
          </w:p>
          <w:p w14:paraId="22645D6B"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auto"/>
            <w:vAlign w:val="center"/>
          </w:tcPr>
          <w:p w14:paraId="7F6094B5"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0.717±0.060</w:t>
            </w:r>
          </w:p>
        </w:tc>
        <w:tc>
          <w:tcPr>
            <w:tcW w:w="1418" w:type="dxa"/>
            <w:shd w:val="clear" w:color="auto" w:fill="auto"/>
            <w:vAlign w:val="center"/>
          </w:tcPr>
          <w:p w14:paraId="3735D57F"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0.738±0.052</w:t>
            </w:r>
          </w:p>
        </w:tc>
        <w:tc>
          <w:tcPr>
            <w:tcW w:w="1188" w:type="dxa"/>
            <w:shd w:val="clear" w:color="auto" w:fill="auto"/>
            <w:vAlign w:val="center"/>
          </w:tcPr>
          <w:p w14:paraId="274C38CA" w14:textId="77777777" w:rsidR="00EC65B9" w:rsidRPr="0020253F" w:rsidRDefault="00EC65B9" w:rsidP="00924275">
            <w:pPr>
              <w:jc w:val="center"/>
              <w:rPr>
                <w:rFonts w:cs="Arial"/>
                <w:color w:val="000000" w:themeColor="text1"/>
                <w:sz w:val="16"/>
                <w:szCs w:val="16"/>
                <w:vertAlign w:val="superscript"/>
              </w:rPr>
            </w:pPr>
            <w:r w:rsidRPr="0020253F">
              <w:rPr>
                <w:rFonts w:cs="Arial"/>
                <w:color w:val="000000" w:themeColor="text1"/>
                <w:sz w:val="16"/>
                <w:szCs w:val="16"/>
              </w:rPr>
              <w:t>0.701±0.087</w:t>
            </w:r>
            <w:r w:rsidRPr="0020253F">
              <w:rPr>
                <w:rFonts w:cs="Arial"/>
                <w:color w:val="000000" w:themeColor="text1"/>
                <w:sz w:val="16"/>
                <w:szCs w:val="16"/>
                <w:vertAlign w:val="superscript"/>
              </w:rPr>
              <w:t>2</w:t>
            </w:r>
          </w:p>
        </w:tc>
        <w:tc>
          <w:tcPr>
            <w:tcW w:w="851" w:type="dxa"/>
            <w:shd w:val="clear" w:color="auto" w:fill="auto"/>
            <w:vAlign w:val="center"/>
          </w:tcPr>
          <w:p w14:paraId="322B5415"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0.526</w:t>
            </w:r>
          </w:p>
        </w:tc>
        <w:tc>
          <w:tcPr>
            <w:tcW w:w="992" w:type="dxa"/>
            <w:shd w:val="clear" w:color="auto" w:fill="auto"/>
            <w:vAlign w:val="center"/>
          </w:tcPr>
          <w:p w14:paraId="43457408"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0.739</w:t>
            </w:r>
          </w:p>
        </w:tc>
        <w:tc>
          <w:tcPr>
            <w:tcW w:w="1276" w:type="dxa"/>
            <w:shd w:val="clear" w:color="auto" w:fill="auto"/>
            <w:vAlign w:val="center"/>
          </w:tcPr>
          <w:p w14:paraId="5A813EE8"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0.337, 1.022</w:t>
            </w:r>
          </w:p>
        </w:tc>
        <w:tc>
          <w:tcPr>
            <w:tcW w:w="1107" w:type="dxa"/>
            <w:shd w:val="clear" w:color="auto" w:fill="auto"/>
            <w:noWrap/>
            <w:vAlign w:val="center"/>
          </w:tcPr>
          <w:p w14:paraId="2B57289E"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0.7 – 1.1</w:t>
            </w:r>
          </w:p>
        </w:tc>
      </w:tr>
      <w:tr w:rsidR="00EC65B9" w:rsidRPr="00420FFA" w14:paraId="03FB77DF" w14:textId="77777777" w:rsidTr="00924275">
        <w:trPr>
          <w:trHeight w:val="510"/>
          <w:jc w:val="center"/>
        </w:trPr>
        <w:tc>
          <w:tcPr>
            <w:tcW w:w="1448" w:type="dxa"/>
            <w:shd w:val="clear" w:color="auto" w:fill="EAF1DD" w:themeFill="accent3" w:themeFillTint="33"/>
            <w:noWrap/>
            <w:vAlign w:val="center"/>
          </w:tcPr>
          <w:p w14:paraId="198C9DA8"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Insoluble tannins</w:t>
            </w:r>
          </w:p>
          <w:p w14:paraId="4288F45F"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EAF1DD" w:themeFill="accent3" w:themeFillTint="33"/>
            <w:vAlign w:val="center"/>
          </w:tcPr>
          <w:p w14:paraId="1B13BF26"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0.403±0.095</w:t>
            </w:r>
          </w:p>
        </w:tc>
        <w:tc>
          <w:tcPr>
            <w:tcW w:w="1418" w:type="dxa"/>
            <w:shd w:val="clear" w:color="auto" w:fill="FDE9D9" w:themeFill="accent6" w:themeFillTint="33"/>
            <w:vAlign w:val="center"/>
          </w:tcPr>
          <w:p w14:paraId="5F98D817"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0.455±0.110</w:t>
            </w:r>
          </w:p>
        </w:tc>
        <w:tc>
          <w:tcPr>
            <w:tcW w:w="1188" w:type="dxa"/>
            <w:shd w:val="clear" w:color="auto" w:fill="EAF1DD" w:themeFill="accent3" w:themeFillTint="33"/>
            <w:vAlign w:val="center"/>
          </w:tcPr>
          <w:p w14:paraId="05A6C88B" w14:textId="77777777" w:rsidR="00EC65B9" w:rsidRPr="0020253F" w:rsidRDefault="00EC65B9" w:rsidP="00924275">
            <w:pPr>
              <w:jc w:val="center"/>
              <w:rPr>
                <w:rFonts w:cs="Arial"/>
                <w:color w:val="000000" w:themeColor="text1"/>
                <w:sz w:val="16"/>
                <w:szCs w:val="16"/>
                <w:vertAlign w:val="superscript"/>
              </w:rPr>
            </w:pPr>
            <w:r w:rsidRPr="0020253F">
              <w:rPr>
                <w:rFonts w:cs="Arial"/>
                <w:color w:val="000000" w:themeColor="text1"/>
                <w:sz w:val="16"/>
                <w:szCs w:val="16"/>
              </w:rPr>
              <w:t>0.458±0.125</w:t>
            </w:r>
            <w:r w:rsidRPr="0020253F">
              <w:rPr>
                <w:rFonts w:cs="Arial"/>
                <w:color w:val="000000" w:themeColor="text1"/>
                <w:sz w:val="16"/>
                <w:szCs w:val="16"/>
                <w:vertAlign w:val="superscript"/>
              </w:rPr>
              <w:t>2</w:t>
            </w:r>
          </w:p>
        </w:tc>
        <w:tc>
          <w:tcPr>
            <w:tcW w:w="851" w:type="dxa"/>
            <w:shd w:val="clear" w:color="auto" w:fill="EAF1DD" w:themeFill="accent3" w:themeFillTint="33"/>
            <w:vAlign w:val="center"/>
          </w:tcPr>
          <w:p w14:paraId="6A683C55" w14:textId="77777777" w:rsidR="00EC65B9" w:rsidRPr="0020253F" w:rsidRDefault="00EC65B9" w:rsidP="00924275">
            <w:pPr>
              <w:jc w:val="center"/>
              <w:rPr>
                <w:rFonts w:cs="Arial"/>
                <w:b/>
                <w:color w:val="000000" w:themeColor="text1"/>
                <w:sz w:val="16"/>
                <w:szCs w:val="16"/>
                <w:u w:val="single"/>
              </w:rPr>
            </w:pPr>
            <w:r w:rsidRPr="0020253F">
              <w:rPr>
                <w:rFonts w:cs="Arial"/>
                <w:b/>
                <w:color w:val="000000" w:themeColor="text1"/>
                <w:sz w:val="16"/>
                <w:szCs w:val="16"/>
                <w:u w:val="single"/>
              </w:rPr>
              <w:t>0.027</w:t>
            </w:r>
          </w:p>
        </w:tc>
        <w:tc>
          <w:tcPr>
            <w:tcW w:w="992" w:type="dxa"/>
            <w:shd w:val="clear" w:color="auto" w:fill="EAF1DD" w:themeFill="accent3" w:themeFillTint="33"/>
            <w:vAlign w:val="center"/>
          </w:tcPr>
          <w:p w14:paraId="3BDF7FCA"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0.109</w:t>
            </w:r>
          </w:p>
        </w:tc>
        <w:tc>
          <w:tcPr>
            <w:tcW w:w="1276" w:type="dxa"/>
            <w:shd w:val="clear" w:color="auto" w:fill="EAF1DD" w:themeFill="accent3" w:themeFillTint="33"/>
            <w:vAlign w:val="center"/>
          </w:tcPr>
          <w:p w14:paraId="08364C57"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0, 0.749</w:t>
            </w:r>
          </w:p>
        </w:tc>
        <w:tc>
          <w:tcPr>
            <w:tcW w:w="1107" w:type="dxa"/>
            <w:shd w:val="clear" w:color="auto" w:fill="EAF1DD" w:themeFill="accent3" w:themeFillTint="33"/>
            <w:noWrap/>
            <w:vAlign w:val="center"/>
          </w:tcPr>
          <w:p w14:paraId="261B64EC" w14:textId="77777777" w:rsidR="00EC65B9" w:rsidRPr="0020253F" w:rsidRDefault="00EC65B9" w:rsidP="00924275">
            <w:pPr>
              <w:jc w:val="center"/>
              <w:rPr>
                <w:rFonts w:cs="Arial"/>
                <w:color w:val="000000" w:themeColor="text1"/>
                <w:sz w:val="16"/>
                <w:szCs w:val="16"/>
              </w:rPr>
            </w:pPr>
          </w:p>
        </w:tc>
      </w:tr>
      <w:tr w:rsidR="00EC65B9" w:rsidRPr="00420FFA" w14:paraId="72D3A296" w14:textId="77777777" w:rsidTr="00924275">
        <w:trPr>
          <w:trHeight w:val="510"/>
          <w:jc w:val="center"/>
        </w:trPr>
        <w:tc>
          <w:tcPr>
            <w:tcW w:w="1448" w:type="dxa"/>
            <w:shd w:val="clear" w:color="auto" w:fill="auto"/>
            <w:noWrap/>
            <w:vAlign w:val="center"/>
          </w:tcPr>
          <w:p w14:paraId="61325A16"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Soluble tannins</w:t>
            </w:r>
          </w:p>
          <w:p w14:paraId="63B6E10C"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auto"/>
            <w:vAlign w:val="center"/>
          </w:tcPr>
          <w:p w14:paraId="79E46824"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0.099±0.038</w:t>
            </w:r>
          </w:p>
        </w:tc>
        <w:tc>
          <w:tcPr>
            <w:tcW w:w="1418" w:type="dxa"/>
            <w:shd w:val="clear" w:color="auto" w:fill="auto"/>
            <w:vAlign w:val="center"/>
          </w:tcPr>
          <w:p w14:paraId="4A7C24AA"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0.100±0.047</w:t>
            </w:r>
          </w:p>
        </w:tc>
        <w:tc>
          <w:tcPr>
            <w:tcW w:w="1188" w:type="dxa"/>
            <w:shd w:val="clear" w:color="auto" w:fill="auto"/>
            <w:vAlign w:val="center"/>
          </w:tcPr>
          <w:p w14:paraId="179763B4" w14:textId="77777777" w:rsidR="00EC65B9" w:rsidRPr="0020253F" w:rsidRDefault="00EC65B9" w:rsidP="00924275">
            <w:pPr>
              <w:jc w:val="center"/>
              <w:rPr>
                <w:rFonts w:cs="Arial"/>
                <w:color w:val="000000" w:themeColor="text1"/>
                <w:sz w:val="16"/>
                <w:szCs w:val="16"/>
                <w:vertAlign w:val="superscript"/>
              </w:rPr>
            </w:pPr>
            <w:r w:rsidRPr="0020253F">
              <w:rPr>
                <w:rFonts w:cs="Arial"/>
                <w:color w:val="000000" w:themeColor="text1"/>
                <w:sz w:val="16"/>
                <w:szCs w:val="16"/>
              </w:rPr>
              <w:t>0.134±0.081</w:t>
            </w:r>
            <w:r w:rsidRPr="0020253F">
              <w:rPr>
                <w:rFonts w:cs="Arial"/>
                <w:color w:val="000000" w:themeColor="text1"/>
                <w:sz w:val="16"/>
                <w:szCs w:val="16"/>
                <w:vertAlign w:val="superscript"/>
              </w:rPr>
              <w:t>2</w:t>
            </w:r>
          </w:p>
        </w:tc>
        <w:tc>
          <w:tcPr>
            <w:tcW w:w="851" w:type="dxa"/>
            <w:shd w:val="clear" w:color="auto" w:fill="auto"/>
            <w:vAlign w:val="center"/>
          </w:tcPr>
          <w:p w14:paraId="25D8B0FB"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0.778</w:t>
            </w:r>
          </w:p>
        </w:tc>
        <w:tc>
          <w:tcPr>
            <w:tcW w:w="992" w:type="dxa"/>
            <w:shd w:val="clear" w:color="auto" w:fill="auto"/>
            <w:vAlign w:val="center"/>
          </w:tcPr>
          <w:p w14:paraId="050A56B1"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0.051</w:t>
            </w:r>
          </w:p>
        </w:tc>
        <w:tc>
          <w:tcPr>
            <w:tcW w:w="1276" w:type="dxa"/>
            <w:shd w:val="clear" w:color="auto" w:fill="auto"/>
            <w:vAlign w:val="center"/>
          </w:tcPr>
          <w:p w14:paraId="78AC7F0B"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0, 0.194</w:t>
            </w:r>
          </w:p>
        </w:tc>
        <w:tc>
          <w:tcPr>
            <w:tcW w:w="1107" w:type="dxa"/>
            <w:shd w:val="clear" w:color="auto" w:fill="auto"/>
            <w:noWrap/>
            <w:vAlign w:val="center"/>
          </w:tcPr>
          <w:p w14:paraId="0C92B26C" w14:textId="77777777" w:rsidR="00EC65B9" w:rsidRPr="0020253F" w:rsidRDefault="00EC65B9" w:rsidP="00924275">
            <w:pPr>
              <w:jc w:val="center"/>
              <w:rPr>
                <w:rFonts w:cs="Arial"/>
                <w:color w:val="000000" w:themeColor="text1"/>
                <w:sz w:val="16"/>
                <w:szCs w:val="16"/>
              </w:rPr>
            </w:pPr>
          </w:p>
        </w:tc>
      </w:tr>
      <w:tr w:rsidR="00EC65B9" w:rsidRPr="00420FFA" w14:paraId="4AC9E563" w14:textId="77777777" w:rsidTr="00924275">
        <w:trPr>
          <w:trHeight w:val="510"/>
          <w:jc w:val="center"/>
        </w:trPr>
        <w:tc>
          <w:tcPr>
            <w:tcW w:w="1448" w:type="dxa"/>
            <w:shd w:val="clear" w:color="auto" w:fill="EAF1DD" w:themeFill="accent3" w:themeFillTint="33"/>
            <w:noWrap/>
            <w:vAlign w:val="center"/>
          </w:tcPr>
          <w:p w14:paraId="3C114E07"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Total condensed tannins</w:t>
            </w:r>
          </w:p>
          <w:p w14:paraId="7EEB2DFE"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(%dw)</w:t>
            </w:r>
          </w:p>
        </w:tc>
        <w:tc>
          <w:tcPr>
            <w:tcW w:w="1134" w:type="dxa"/>
            <w:shd w:val="clear" w:color="auto" w:fill="EAF1DD" w:themeFill="accent3" w:themeFillTint="33"/>
            <w:vAlign w:val="center"/>
          </w:tcPr>
          <w:p w14:paraId="1F50661B"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0.503±0.121</w:t>
            </w:r>
          </w:p>
        </w:tc>
        <w:tc>
          <w:tcPr>
            <w:tcW w:w="1418" w:type="dxa"/>
            <w:shd w:val="clear" w:color="auto" w:fill="EAF1DD" w:themeFill="accent3" w:themeFillTint="33"/>
            <w:vAlign w:val="center"/>
          </w:tcPr>
          <w:p w14:paraId="6A69E4F6"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0.554±0.147</w:t>
            </w:r>
          </w:p>
        </w:tc>
        <w:tc>
          <w:tcPr>
            <w:tcW w:w="1188" w:type="dxa"/>
            <w:shd w:val="clear" w:color="auto" w:fill="EAF1DD" w:themeFill="accent3" w:themeFillTint="33"/>
            <w:vAlign w:val="center"/>
          </w:tcPr>
          <w:p w14:paraId="7B819252"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0.591±0.189</w:t>
            </w:r>
          </w:p>
        </w:tc>
        <w:tc>
          <w:tcPr>
            <w:tcW w:w="851" w:type="dxa"/>
            <w:shd w:val="clear" w:color="auto" w:fill="EAF1DD" w:themeFill="accent3" w:themeFillTint="33"/>
            <w:vAlign w:val="center"/>
          </w:tcPr>
          <w:p w14:paraId="34D755A4"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0.097</w:t>
            </w:r>
          </w:p>
        </w:tc>
        <w:tc>
          <w:tcPr>
            <w:tcW w:w="992" w:type="dxa"/>
            <w:shd w:val="clear" w:color="auto" w:fill="EAF1DD" w:themeFill="accent3" w:themeFillTint="33"/>
            <w:vAlign w:val="center"/>
          </w:tcPr>
          <w:p w14:paraId="43FD462D"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0.060</w:t>
            </w:r>
          </w:p>
        </w:tc>
        <w:tc>
          <w:tcPr>
            <w:tcW w:w="1276" w:type="dxa"/>
            <w:shd w:val="clear" w:color="auto" w:fill="EAF1DD" w:themeFill="accent3" w:themeFillTint="33"/>
            <w:vAlign w:val="center"/>
          </w:tcPr>
          <w:p w14:paraId="6679FEC4" w14:textId="77777777" w:rsidR="00EC65B9" w:rsidRPr="0020253F" w:rsidRDefault="00EC65B9" w:rsidP="00924275">
            <w:pPr>
              <w:jc w:val="center"/>
              <w:rPr>
                <w:rFonts w:cs="Arial"/>
                <w:color w:val="000000" w:themeColor="text1"/>
                <w:sz w:val="16"/>
                <w:szCs w:val="16"/>
              </w:rPr>
            </w:pPr>
            <w:r w:rsidRPr="0020253F">
              <w:rPr>
                <w:rFonts w:cs="Arial"/>
                <w:color w:val="000000" w:themeColor="text1"/>
                <w:sz w:val="16"/>
                <w:szCs w:val="16"/>
              </w:rPr>
              <w:t>0, 0.923</w:t>
            </w:r>
          </w:p>
        </w:tc>
        <w:tc>
          <w:tcPr>
            <w:tcW w:w="1107" w:type="dxa"/>
            <w:shd w:val="clear" w:color="auto" w:fill="EAF1DD" w:themeFill="accent3" w:themeFillTint="33"/>
            <w:noWrap/>
            <w:vAlign w:val="center"/>
          </w:tcPr>
          <w:p w14:paraId="712F9DE9" w14:textId="77777777" w:rsidR="00EC65B9" w:rsidRPr="0020253F" w:rsidRDefault="00EC65B9" w:rsidP="00924275">
            <w:pPr>
              <w:jc w:val="center"/>
              <w:rPr>
                <w:rFonts w:cs="Arial"/>
                <w:color w:val="000000" w:themeColor="text1"/>
                <w:sz w:val="16"/>
                <w:szCs w:val="16"/>
              </w:rPr>
            </w:pPr>
          </w:p>
        </w:tc>
      </w:tr>
    </w:tbl>
    <w:p w14:paraId="3E71D69D" w14:textId="77777777" w:rsidR="00EC65B9" w:rsidRPr="00F50D6A" w:rsidRDefault="00EC65B9" w:rsidP="00EC65B9">
      <w:pPr>
        <w:autoSpaceDE w:val="0"/>
        <w:autoSpaceDN w:val="0"/>
        <w:adjustRightInd w:val="0"/>
        <w:rPr>
          <w:color w:val="000000" w:themeColor="text1"/>
          <w:sz w:val="18"/>
          <w:szCs w:val="18"/>
        </w:rPr>
      </w:pPr>
      <w:r w:rsidRPr="00F50D6A">
        <w:rPr>
          <w:color w:val="000000" w:themeColor="text1"/>
          <w:sz w:val="18"/>
          <w:szCs w:val="18"/>
          <w:vertAlign w:val="superscript"/>
        </w:rPr>
        <w:t>1</w:t>
      </w:r>
      <w:r w:rsidRPr="00F50D6A">
        <w:rPr>
          <w:color w:val="000000" w:themeColor="text1"/>
          <w:sz w:val="18"/>
          <w:szCs w:val="18"/>
        </w:rPr>
        <w:t xml:space="preserve"> p-values indicating significant differences are bolded and underlined.</w:t>
      </w:r>
    </w:p>
    <w:p w14:paraId="30432219" w14:textId="77777777" w:rsidR="00EC65B9" w:rsidRPr="00EC65B9" w:rsidRDefault="00EC65B9" w:rsidP="00EC65B9">
      <w:pPr>
        <w:autoSpaceDE w:val="0"/>
        <w:autoSpaceDN w:val="0"/>
        <w:adjustRightInd w:val="0"/>
        <w:ind w:left="284" w:hanging="284"/>
        <w:rPr>
          <w:rFonts w:cs="Arial"/>
          <w:color w:val="000000" w:themeColor="text1"/>
          <w:sz w:val="18"/>
          <w:szCs w:val="20"/>
        </w:rPr>
      </w:pPr>
      <w:r w:rsidRPr="00EC65B9">
        <w:rPr>
          <w:color w:val="000000" w:themeColor="text1"/>
          <w:sz w:val="18"/>
          <w:szCs w:val="20"/>
          <w:vertAlign w:val="superscript"/>
        </w:rPr>
        <w:t>2</w:t>
      </w:r>
      <w:r w:rsidRPr="00EC65B9">
        <w:rPr>
          <w:rFonts w:cs="Arial"/>
          <w:color w:val="000000" w:themeColor="text1"/>
          <w:sz w:val="18"/>
          <w:szCs w:val="20"/>
        </w:rPr>
        <w:t xml:space="preserve"> orange shading represents MS11 means that are significantly higher than the N90-740 means</w:t>
      </w:r>
    </w:p>
    <w:p w14:paraId="2B2E3208" w14:textId="77777777" w:rsidR="0033454E" w:rsidRDefault="0033454E" w:rsidP="0033454E">
      <w:pPr>
        <w:pStyle w:val="Heading3"/>
      </w:pPr>
      <w:r>
        <w:t>5.3.7</w:t>
      </w:r>
      <w:r>
        <w:tab/>
      </w:r>
      <w:r w:rsidRPr="00101E14">
        <w:t>Summary of analyses of key components</w:t>
      </w:r>
    </w:p>
    <w:p w14:paraId="26421627" w14:textId="77777777" w:rsidR="0033454E" w:rsidRDefault="0033454E" w:rsidP="00283E37">
      <w:pPr>
        <w:ind w:right="-142"/>
        <w:rPr>
          <w:lang w:eastAsia="en-AU" w:bidi="ar-SA"/>
        </w:rPr>
      </w:pPr>
      <w:r>
        <w:rPr>
          <w:lang w:eastAsia="en-AU" w:bidi="ar-SA"/>
        </w:rPr>
        <w:t xml:space="preserve">A summary of the statistically significant differences in the mean analyte levels found between seed of unsprayed and sprayed MS11 and the N90-740 control is provided </w:t>
      </w:r>
      <w:r w:rsidRPr="004F4FDA">
        <w:rPr>
          <w:lang w:eastAsia="en-AU" w:bidi="ar-SA"/>
        </w:rPr>
        <w:t>in Table 11.</w:t>
      </w:r>
    </w:p>
    <w:p w14:paraId="74179D66" w14:textId="57E49B7B" w:rsidR="00BD2330" w:rsidRDefault="00BD2330">
      <w:pPr>
        <w:widowControl/>
        <w:rPr>
          <w:b/>
          <w:bCs/>
          <w:szCs w:val="22"/>
          <w:lang w:val="en-AU" w:bidi="ar-SA"/>
        </w:rPr>
      </w:pPr>
    </w:p>
    <w:p w14:paraId="48FE3D21" w14:textId="2578E5AD" w:rsidR="0033454E" w:rsidRPr="004A7168" w:rsidRDefault="0033454E" w:rsidP="00A81CB6">
      <w:pPr>
        <w:pStyle w:val="Caption"/>
        <w:keepNext/>
      </w:pPr>
      <w:bookmarkStart w:id="46" w:name="_Toc481574646"/>
      <w:r w:rsidRPr="00541691">
        <w:rPr>
          <w:sz w:val="22"/>
          <w:szCs w:val="22"/>
        </w:rPr>
        <w:t>T</w:t>
      </w:r>
      <w:r w:rsidRPr="004A7168">
        <w:t xml:space="preserve">able </w:t>
      </w:r>
      <w:r w:rsidR="00EC65B9">
        <w:fldChar w:fldCharType="begin"/>
      </w:r>
      <w:r w:rsidR="00EC65B9">
        <w:instrText xml:space="preserve"> SEQ Table \* ARABIC </w:instrText>
      </w:r>
      <w:r w:rsidR="00EC65B9">
        <w:fldChar w:fldCharType="separate"/>
      </w:r>
      <w:r w:rsidR="007D76F3" w:rsidRPr="004A7168">
        <w:t>11</w:t>
      </w:r>
      <w:r w:rsidR="00EC65B9">
        <w:fldChar w:fldCharType="end"/>
      </w:r>
      <w:r w:rsidRPr="004A7168">
        <w:t>: Summary of analyte le</w:t>
      </w:r>
      <w:bookmarkStart w:id="47" w:name="_GoBack"/>
      <w:bookmarkEnd w:id="47"/>
      <w:r w:rsidRPr="004A7168">
        <w:t>vels found in seed of MS11 that are significantly (p&lt;0.05) different from those found in seed of the control N90-740</w:t>
      </w:r>
      <w:bookmarkEnd w:id="46"/>
    </w:p>
    <w:p w14:paraId="7D06C58F" w14:textId="77777777" w:rsidR="00EC65B9" w:rsidRPr="00541691" w:rsidRDefault="00EC65B9" w:rsidP="00EC65B9">
      <w:pPr>
        <w:rPr>
          <w:lang w:val="en-AU" w:bidi="ar-SA"/>
        </w:rPr>
      </w:pPr>
      <w:bookmarkStart w:id="48" w:name="_Toc481491441"/>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247"/>
        <w:gridCol w:w="1247"/>
        <w:gridCol w:w="1333"/>
        <w:gridCol w:w="851"/>
        <w:gridCol w:w="992"/>
        <w:gridCol w:w="1022"/>
        <w:gridCol w:w="1219"/>
      </w:tblGrid>
      <w:tr w:rsidR="00EC65B9" w:rsidRPr="00420FFA" w14:paraId="783FDAC3" w14:textId="77777777" w:rsidTr="00924275">
        <w:trPr>
          <w:trHeight w:val="880"/>
          <w:tblHeader/>
          <w:jc w:val="center"/>
        </w:trPr>
        <w:tc>
          <w:tcPr>
            <w:tcW w:w="1361" w:type="dxa"/>
            <w:shd w:val="clear" w:color="auto" w:fill="9BBB59" w:themeFill="accent3"/>
            <w:noWrap/>
            <w:vAlign w:val="center"/>
          </w:tcPr>
          <w:p w14:paraId="07D5F0EB"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Analyte</w:t>
            </w:r>
          </w:p>
        </w:tc>
        <w:tc>
          <w:tcPr>
            <w:tcW w:w="1247" w:type="dxa"/>
            <w:shd w:val="clear" w:color="auto" w:fill="9BBB59" w:themeFill="accent3"/>
            <w:vAlign w:val="center"/>
          </w:tcPr>
          <w:p w14:paraId="3588257D" w14:textId="77777777" w:rsidR="00EC65B9" w:rsidRPr="004A7168" w:rsidRDefault="00EC65B9" w:rsidP="00924275">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 xml:space="preserve">N90-740 </w:t>
            </w:r>
          </w:p>
          <w:p w14:paraId="4312F624" w14:textId="77777777" w:rsidR="00EC65B9" w:rsidRPr="004A7168" w:rsidRDefault="00EC65B9" w:rsidP="00924275">
            <w:pPr>
              <w:jc w:val="center"/>
              <w:rPr>
                <w:rFonts w:cs="Arial"/>
                <w:b/>
                <w:bCs/>
                <w:color w:val="FFFFFF" w:themeColor="background1"/>
                <w:sz w:val="18"/>
                <w:szCs w:val="18"/>
              </w:rPr>
            </w:pPr>
            <w:r w:rsidRPr="004A7168">
              <w:rPr>
                <w:rFonts w:eastAsiaTheme="minorHAnsi" w:cs="Arial"/>
                <w:b/>
                <w:color w:val="FFFFFF" w:themeColor="background1"/>
                <w:sz w:val="18"/>
                <w:szCs w:val="18"/>
              </w:rPr>
              <w:t>(A)</w:t>
            </w:r>
          </w:p>
        </w:tc>
        <w:tc>
          <w:tcPr>
            <w:tcW w:w="1247" w:type="dxa"/>
            <w:shd w:val="clear" w:color="auto" w:fill="9BBB59" w:themeFill="accent3"/>
            <w:vAlign w:val="center"/>
          </w:tcPr>
          <w:p w14:paraId="497992BA" w14:textId="77777777" w:rsidR="00EC65B9" w:rsidRPr="004A7168" w:rsidRDefault="00EC65B9" w:rsidP="00924275">
            <w:pPr>
              <w:jc w:val="center"/>
              <w:rPr>
                <w:rFonts w:eastAsiaTheme="minorHAnsi" w:cs="Arial"/>
                <w:b/>
                <w:color w:val="FFFFFF" w:themeColor="background1"/>
                <w:sz w:val="18"/>
                <w:szCs w:val="18"/>
              </w:rPr>
            </w:pPr>
            <w:r w:rsidRPr="004A7168">
              <w:rPr>
                <w:rFonts w:eastAsiaTheme="minorHAnsi" w:cs="Arial"/>
                <w:b/>
                <w:color w:val="FFFFFF" w:themeColor="background1"/>
                <w:sz w:val="18"/>
                <w:szCs w:val="18"/>
              </w:rPr>
              <w:t>MS11 unsprayed (B)</w:t>
            </w:r>
          </w:p>
        </w:tc>
        <w:tc>
          <w:tcPr>
            <w:tcW w:w="1333" w:type="dxa"/>
            <w:shd w:val="clear" w:color="auto" w:fill="9BBB59" w:themeFill="accent3"/>
            <w:vAlign w:val="center"/>
          </w:tcPr>
          <w:p w14:paraId="57FEC6A1"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 xml:space="preserve">MS11 sprayed </w:t>
            </w:r>
          </w:p>
          <w:p w14:paraId="6416FF41"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(C)</w:t>
            </w:r>
          </w:p>
        </w:tc>
        <w:tc>
          <w:tcPr>
            <w:tcW w:w="851" w:type="dxa"/>
            <w:shd w:val="clear" w:color="auto" w:fill="9BBB59" w:themeFill="accent3"/>
            <w:vAlign w:val="center"/>
          </w:tcPr>
          <w:p w14:paraId="614B489D"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p-value</w:t>
            </w:r>
          </w:p>
          <w:p w14:paraId="202D8D5F" w14:textId="77777777" w:rsidR="00EC65B9" w:rsidRPr="004A7168" w:rsidRDefault="00EC65B9" w:rsidP="00924275">
            <w:pPr>
              <w:jc w:val="center"/>
              <w:rPr>
                <w:rFonts w:cs="Arial"/>
                <w:b/>
                <w:bCs/>
                <w:color w:val="FFFFFF" w:themeColor="background1"/>
                <w:sz w:val="18"/>
                <w:szCs w:val="18"/>
                <w:vertAlign w:val="superscript"/>
              </w:rPr>
            </w:pPr>
            <w:r w:rsidRPr="004A7168">
              <w:rPr>
                <w:rFonts w:cs="Arial"/>
                <w:b/>
                <w:bCs/>
                <w:color w:val="FFFFFF" w:themeColor="background1"/>
                <w:sz w:val="18"/>
                <w:szCs w:val="18"/>
              </w:rPr>
              <w:t xml:space="preserve"> A vs B</w:t>
            </w:r>
          </w:p>
        </w:tc>
        <w:tc>
          <w:tcPr>
            <w:tcW w:w="992" w:type="dxa"/>
            <w:shd w:val="clear" w:color="auto" w:fill="9BBB59" w:themeFill="accent3"/>
            <w:vAlign w:val="center"/>
          </w:tcPr>
          <w:p w14:paraId="0E95434A" w14:textId="77777777" w:rsidR="00EC65B9" w:rsidRPr="004A7168" w:rsidRDefault="00EC65B9" w:rsidP="00924275">
            <w:pPr>
              <w:jc w:val="center"/>
              <w:rPr>
                <w:rFonts w:cs="Arial"/>
                <w:b/>
                <w:bCs/>
                <w:color w:val="FFFFFF" w:themeColor="background1"/>
                <w:sz w:val="18"/>
                <w:szCs w:val="18"/>
                <w:vertAlign w:val="superscript"/>
              </w:rPr>
            </w:pPr>
            <w:r w:rsidRPr="004A7168">
              <w:rPr>
                <w:rFonts w:cs="Arial"/>
                <w:b/>
                <w:bCs/>
                <w:color w:val="FFFFFF" w:themeColor="background1"/>
                <w:sz w:val="18"/>
                <w:szCs w:val="18"/>
              </w:rPr>
              <w:t>p-value</w:t>
            </w:r>
            <w:r w:rsidRPr="004A7168">
              <w:rPr>
                <w:rFonts w:cs="Arial"/>
                <w:b/>
                <w:bCs/>
                <w:color w:val="FFFFFF" w:themeColor="background1"/>
                <w:sz w:val="18"/>
                <w:szCs w:val="18"/>
                <w:vertAlign w:val="superscript"/>
              </w:rPr>
              <w:t>1</w:t>
            </w:r>
          </w:p>
          <w:p w14:paraId="0F433631"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A vs C</w:t>
            </w:r>
          </w:p>
        </w:tc>
        <w:tc>
          <w:tcPr>
            <w:tcW w:w="1022" w:type="dxa"/>
            <w:shd w:val="clear" w:color="auto" w:fill="9BBB59" w:themeFill="accent3"/>
            <w:vAlign w:val="center"/>
          </w:tcPr>
          <w:p w14:paraId="2082B425"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Within tolerance interval?</w:t>
            </w:r>
          </w:p>
        </w:tc>
        <w:tc>
          <w:tcPr>
            <w:tcW w:w="1219" w:type="dxa"/>
            <w:shd w:val="clear" w:color="auto" w:fill="9BBB59" w:themeFill="accent3"/>
            <w:vAlign w:val="center"/>
          </w:tcPr>
          <w:p w14:paraId="5145A7B6" w14:textId="77777777" w:rsidR="00EC65B9" w:rsidRPr="004A7168" w:rsidRDefault="00EC65B9" w:rsidP="00924275">
            <w:pPr>
              <w:jc w:val="center"/>
              <w:rPr>
                <w:rFonts w:cs="Arial"/>
                <w:b/>
                <w:bCs/>
                <w:color w:val="FFFFFF" w:themeColor="background1"/>
                <w:sz w:val="18"/>
                <w:szCs w:val="18"/>
              </w:rPr>
            </w:pPr>
            <w:r w:rsidRPr="004A7168">
              <w:rPr>
                <w:rFonts w:cs="Arial"/>
                <w:b/>
                <w:bCs/>
                <w:color w:val="FFFFFF" w:themeColor="background1"/>
                <w:sz w:val="18"/>
                <w:szCs w:val="18"/>
              </w:rPr>
              <w:t xml:space="preserve">Within literature range? </w:t>
            </w:r>
          </w:p>
        </w:tc>
      </w:tr>
      <w:tr w:rsidR="00EC65B9" w:rsidRPr="00420FFA" w14:paraId="10CA49CB" w14:textId="77777777" w:rsidTr="00924275">
        <w:trPr>
          <w:trHeight w:val="510"/>
          <w:jc w:val="center"/>
        </w:trPr>
        <w:tc>
          <w:tcPr>
            <w:tcW w:w="1361" w:type="dxa"/>
            <w:shd w:val="clear" w:color="auto" w:fill="FFFFFF" w:themeFill="background1"/>
            <w:noWrap/>
            <w:vAlign w:val="center"/>
          </w:tcPr>
          <w:p w14:paraId="44B86F6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Protein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FFFFFF" w:themeFill="background1"/>
            <w:vAlign w:val="center"/>
          </w:tcPr>
          <w:p w14:paraId="72960F3D"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28.4±2.3</w:t>
            </w:r>
          </w:p>
        </w:tc>
        <w:tc>
          <w:tcPr>
            <w:tcW w:w="1247" w:type="dxa"/>
            <w:shd w:val="clear" w:color="auto" w:fill="FFFFFF" w:themeFill="background1"/>
            <w:vAlign w:val="center"/>
          </w:tcPr>
          <w:p w14:paraId="01D3950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29.1±2.5</w:t>
            </w:r>
          </w:p>
        </w:tc>
        <w:tc>
          <w:tcPr>
            <w:tcW w:w="1333" w:type="dxa"/>
            <w:shd w:val="clear" w:color="auto" w:fill="FDE9D9" w:themeFill="accent6" w:themeFillTint="33"/>
            <w:vAlign w:val="center"/>
          </w:tcPr>
          <w:p w14:paraId="2D09807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29.6±1.3</w:t>
            </w:r>
            <w:r w:rsidRPr="004A7168">
              <w:rPr>
                <w:rFonts w:cs="Arial"/>
                <w:color w:val="000000" w:themeColor="text1"/>
                <w:sz w:val="18"/>
                <w:szCs w:val="18"/>
                <w:vertAlign w:val="superscript"/>
              </w:rPr>
              <w:t>4</w:t>
            </w:r>
          </w:p>
        </w:tc>
        <w:tc>
          <w:tcPr>
            <w:tcW w:w="851" w:type="dxa"/>
            <w:shd w:val="clear" w:color="auto" w:fill="FFFFFF" w:themeFill="background1"/>
            <w:vAlign w:val="center"/>
          </w:tcPr>
          <w:p w14:paraId="60923B4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0.213</w:t>
            </w:r>
          </w:p>
        </w:tc>
        <w:tc>
          <w:tcPr>
            <w:tcW w:w="992" w:type="dxa"/>
            <w:shd w:val="clear" w:color="auto" w:fill="FFFFFF" w:themeFill="background1"/>
            <w:vAlign w:val="center"/>
          </w:tcPr>
          <w:p w14:paraId="64F93922"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0.006</w:t>
            </w:r>
          </w:p>
        </w:tc>
        <w:tc>
          <w:tcPr>
            <w:tcW w:w="1022" w:type="dxa"/>
            <w:shd w:val="clear" w:color="auto" w:fill="FFFFFF" w:themeFill="background1"/>
            <w:vAlign w:val="center"/>
          </w:tcPr>
          <w:p w14:paraId="4811B07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69AC446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63D43E10" w14:textId="77777777" w:rsidTr="00924275">
        <w:trPr>
          <w:trHeight w:val="510"/>
          <w:jc w:val="center"/>
        </w:trPr>
        <w:tc>
          <w:tcPr>
            <w:tcW w:w="1361" w:type="dxa"/>
            <w:shd w:val="clear" w:color="auto" w:fill="EAF1DD" w:themeFill="accent3" w:themeFillTint="33"/>
            <w:noWrap/>
            <w:vAlign w:val="center"/>
          </w:tcPr>
          <w:p w14:paraId="3B7DA0B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Fat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EAF1DD" w:themeFill="accent3" w:themeFillTint="33"/>
            <w:vAlign w:val="center"/>
          </w:tcPr>
          <w:p w14:paraId="5D8AD67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37.1±4.6</w:t>
            </w:r>
          </w:p>
        </w:tc>
        <w:tc>
          <w:tcPr>
            <w:tcW w:w="1247" w:type="dxa"/>
            <w:shd w:val="clear" w:color="auto" w:fill="EAF1DD" w:themeFill="accent3" w:themeFillTint="33"/>
            <w:vAlign w:val="center"/>
          </w:tcPr>
          <w:p w14:paraId="325221C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36.5±4.3</w:t>
            </w:r>
          </w:p>
        </w:tc>
        <w:tc>
          <w:tcPr>
            <w:tcW w:w="1333" w:type="dxa"/>
            <w:shd w:val="clear" w:color="auto" w:fill="E5DFEC" w:themeFill="accent4" w:themeFillTint="33"/>
            <w:vAlign w:val="center"/>
          </w:tcPr>
          <w:p w14:paraId="13E63F30"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33.8±4.7</w:t>
            </w:r>
            <w:r w:rsidRPr="004A7168">
              <w:rPr>
                <w:rFonts w:cs="Arial"/>
                <w:color w:val="000000" w:themeColor="text1"/>
                <w:sz w:val="18"/>
                <w:szCs w:val="18"/>
                <w:vertAlign w:val="superscript"/>
              </w:rPr>
              <w:t>4</w:t>
            </w:r>
          </w:p>
        </w:tc>
        <w:tc>
          <w:tcPr>
            <w:tcW w:w="851" w:type="dxa"/>
            <w:shd w:val="clear" w:color="auto" w:fill="EAF1DD" w:themeFill="accent3" w:themeFillTint="33"/>
            <w:vAlign w:val="center"/>
          </w:tcPr>
          <w:p w14:paraId="0312C5E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0.261</w:t>
            </w:r>
          </w:p>
        </w:tc>
        <w:tc>
          <w:tcPr>
            <w:tcW w:w="992" w:type="dxa"/>
            <w:shd w:val="clear" w:color="auto" w:fill="EAF1DD" w:themeFill="accent3" w:themeFillTint="33"/>
            <w:vAlign w:val="center"/>
          </w:tcPr>
          <w:p w14:paraId="023E912D"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35541A8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68B94B1"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E249C8C" w14:textId="77777777" w:rsidTr="00924275">
        <w:trPr>
          <w:trHeight w:val="510"/>
          <w:jc w:val="center"/>
        </w:trPr>
        <w:tc>
          <w:tcPr>
            <w:tcW w:w="1361" w:type="dxa"/>
            <w:shd w:val="clear" w:color="auto" w:fill="FFFFFF" w:themeFill="background1"/>
            <w:noWrap/>
            <w:vAlign w:val="center"/>
          </w:tcPr>
          <w:p w14:paraId="605DDE1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Ash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FFFFFF" w:themeFill="background1"/>
            <w:vAlign w:val="center"/>
          </w:tcPr>
          <w:p w14:paraId="0C1D7F2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4.87±0.86</w:t>
            </w:r>
          </w:p>
        </w:tc>
        <w:tc>
          <w:tcPr>
            <w:tcW w:w="1247" w:type="dxa"/>
            <w:shd w:val="clear" w:color="auto" w:fill="FFFFFF" w:themeFill="background1"/>
            <w:vAlign w:val="center"/>
          </w:tcPr>
          <w:p w14:paraId="62A4E05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5.00±0.84</w:t>
            </w:r>
          </w:p>
        </w:tc>
        <w:tc>
          <w:tcPr>
            <w:tcW w:w="1333" w:type="dxa"/>
            <w:shd w:val="clear" w:color="auto" w:fill="FDE9D9" w:themeFill="accent6" w:themeFillTint="33"/>
            <w:vAlign w:val="center"/>
          </w:tcPr>
          <w:p w14:paraId="6A3FB1F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5.47±0.91</w:t>
            </w:r>
            <w:r w:rsidRPr="004A7168">
              <w:rPr>
                <w:rFonts w:cs="Arial"/>
                <w:color w:val="000000" w:themeColor="text1"/>
                <w:sz w:val="18"/>
                <w:szCs w:val="18"/>
                <w:vertAlign w:val="superscript"/>
              </w:rPr>
              <w:t>4</w:t>
            </w:r>
          </w:p>
        </w:tc>
        <w:tc>
          <w:tcPr>
            <w:tcW w:w="851" w:type="dxa"/>
            <w:shd w:val="clear" w:color="auto" w:fill="FFFFFF" w:themeFill="background1"/>
            <w:vAlign w:val="center"/>
          </w:tcPr>
          <w:p w14:paraId="289B1F5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0.316</w:t>
            </w:r>
          </w:p>
        </w:tc>
        <w:tc>
          <w:tcPr>
            <w:tcW w:w="992" w:type="dxa"/>
            <w:shd w:val="clear" w:color="auto" w:fill="FFFFFF" w:themeFill="background1"/>
            <w:vAlign w:val="center"/>
          </w:tcPr>
          <w:p w14:paraId="620DC81C"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0.001</w:t>
            </w:r>
          </w:p>
        </w:tc>
        <w:tc>
          <w:tcPr>
            <w:tcW w:w="1022" w:type="dxa"/>
            <w:shd w:val="clear" w:color="auto" w:fill="FFFFFF" w:themeFill="background1"/>
            <w:vAlign w:val="center"/>
          </w:tcPr>
          <w:p w14:paraId="45C2B7E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5A16220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0EA0550" w14:textId="77777777" w:rsidTr="00924275">
        <w:trPr>
          <w:trHeight w:val="510"/>
          <w:jc w:val="center"/>
        </w:trPr>
        <w:tc>
          <w:tcPr>
            <w:tcW w:w="1361" w:type="dxa"/>
            <w:shd w:val="clear" w:color="auto" w:fill="EAF1DD" w:themeFill="accent3" w:themeFillTint="33"/>
            <w:noWrap/>
            <w:vAlign w:val="center"/>
          </w:tcPr>
          <w:p w14:paraId="7D96623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ADF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EAF1DD" w:themeFill="accent3" w:themeFillTint="33"/>
            <w:vAlign w:val="center"/>
          </w:tcPr>
          <w:p w14:paraId="0D42395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21.3±1.9</w:t>
            </w:r>
          </w:p>
        </w:tc>
        <w:tc>
          <w:tcPr>
            <w:tcW w:w="1247" w:type="dxa"/>
            <w:shd w:val="clear" w:color="auto" w:fill="EAF1DD" w:themeFill="accent3" w:themeFillTint="33"/>
            <w:vAlign w:val="center"/>
          </w:tcPr>
          <w:p w14:paraId="409E66F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21.5±1.7</w:t>
            </w:r>
          </w:p>
        </w:tc>
        <w:tc>
          <w:tcPr>
            <w:tcW w:w="1333" w:type="dxa"/>
            <w:shd w:val="clear" w:color="auto" w:fill="E5DFEC" w:themeFill="accent4" w:themeFillTint="33"/>
            <w:vAlign w:val="center"/>
          </w:tcPr>
          <w:p w14:paraId="17E1F47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20.1±2.7</w:t>
            </w:r>
            <w:r w:rsidRPr="004A7168">
              <w:rPr>
                <w:rFonts w:cs="Arial"/>
                <w:color w:val="000000" w:themeColor="text1"/>
                <w:sz w:val="18"/>
                <w:szCs w:val="18"/>
                <w:vertAlign w:val="superscript"/>
              </w:rPr>
              <w:t>4</w:t>
            </w:r>
          </w:p>
        </w:tc>
        <w:tc>
          <w:tcPr>
            <w:tcW w:w="851" w:type="dxa"/>
            <w:shd w:val="clear" w:color="auto" w:fill="EAF1DD" w:themeFill="accent3" w:themeFillTint="33"/>
            <w:vAlign w:val="center"/>
          </w:tcPr>
          <w:p w14:paraId="526B688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0.979</w:t>
            </w:r>
          </w:p>
        </w:tc>
        <w:tc>
          <w:tcPr>
            <w:tcW w:w="992" w:type="dxa"/>
            <w:shd w:val="clear" w:color="auto" w:fill="EAF1DD" w:themeFill="accent3" w:themeFillTint="33"/>
            <w:vAlign w:val="center"/>
          </w:tcPr>
          <w:p w14:paraId="7D967FFF"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0.023</w:t>
            </w:r>
          </w:p>
        </w:tc>
        <w:tc>
          <w:tcPr>
            <w:tcW w:w="1022" w:type="dxa"/>
            <w:shd w:val="clear" w:color="auto" w:fill="EAF1DD" w:themeFill="accent3" w:themeFillTint="33"/>
            <w:vAlign w:val="center"/>
          </w:tcPr>
          <w:p w14:paraId="11B9623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0FFA505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4F340F8" w14:textId="77777777" w:rsidTr="00924275">
        <w:trPr>
          <w:trHeight w:val="510"/>
          <w:jc w:val="center"/>
        </w:trPr>
        <w:tc>
          <w:tcPr>
            <w:tcW w:w="1361" w:type="dxa"/>
            <w:shd w:val="clear" w:color="auto" w:fill="FFFFFF" w:themeFill="background1"/>
            <w:noWrap/>
            <w:vAlign w:val="center"/>
          </w:tcPr>
          <w:p w14:paraId="7CDA756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NDF (%</w:t>
            </w:r>
            <w:r>
              <w:rPr>
                <w:rFonts w:cs="Arial"/>
                <w:color w:val="000000" w:themeColor="text1"/>
                <w:sz w:val="18"/>
                <w:szCs w:val="18"/>
              </w:rPr>
              <w:t>dw</w:t>
            </w:r>
            <w:r w:rsidRPr="004A7168">
              <w:rPr>
                <w:rFonts w:cs="Arial"/>
                <w:color w:val="000000" w:themeColor="text1"/>
                <w:sz w:val="18"/>
                <w:szCs w:val="18"/>
              </w:rPr>
              <w:t>)</w:t>
            </w:r>
          </w:p>
        </w:tc>
        <w:tc>
          <w:tcPr>
            <w:tcW w:w="1247" w:type="dxa"/>
            <w:shd w:val="clear" w:color="auto" w:fill="FFFFFF" w:themeFill="background1"/>
            <w:vAlign w:val="center"/>
          </w:tcPr>
          <w:p w14:paraId="63D6B1C1"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25.0±1.9</w:t>
            </w:r>
          </w:p>
        </w:tc>
        <w:tc>
          <w:tcPr>
            <w:tcW w:w="1247" w:type="dxa"/>
            <w:shd w:val="clear" w:color="auto" w:fill="FFFFFF" w:themeFill="background1"/>
            <w:vAlign w:val="center"/>
          </w:tcPr>
          <w:p w14:paraId="3E6E21F0"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24.6±1.9</w:t>
            </w:r>
          </w:p>
        </w:tc>
        <w:tc>
          <w:tcPr>
            <w:tcW w:w="1333" w:type="dxa"/>
            <w:shd w:val="clear" w:color="auto" w:fill="E5DFEC" w:themeFill="accent4" w:themeFillTint="33"/>
            <w:vAlign w:val="center"/>
          </w:tcPr>
          <w:p w14:paraId="2218D27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23.4±2.5</w:t>
            </w:r>
            <w:r w:rsidRPr="004A7168">
              <w:rPr>
                <w:rFonts w:cs="Arial"/>
                <w:color w:val="000000" w:themeColor="text1"/>
                <w:sz w:val="18"/>
                <w:szCs w:val="18"/>
                <w:vertAlign w:val="superscript"/>
              </w:rPr>
              <w:t>4</w:t>
            </w:r>
          </w:p>
        </w:tc>
        <w:tc>
          <w:tcPr>
            <w:tcW w:w="851" w:type="dxa"/>
            <w:shd w:val="clear" w:color="auto" w:fill="FFFFFF" w:themeFill="background1"/>
            <w:vAlign w:val="center"/>
          </w:tcPr>
          <w:p w14:paraId="2D4E4C9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0.413</w:t>
            </w:r>
          </w:p>
        </w:tc>
        <w:tc>
          <w:tcPr>
            <w:tcW w:w="992" w:type="dxa"/>
            <w:shd w:val="clear" w:color="auto" w:fill="FFFFFF" w:themeFill="background1"/>
            <w:vAlign w:val="center"/>
          </w:tcPr>
          <w:p w14:paraId="2FDCE2EC"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0.011</w:t>
            </w:r>
          </w:p>
        </w:tc>
        <w:tc>
          <w:tcPr>
            <w:tcW w:w="1022" w:type="dxa"/>
            <w:shd w:val="clear" w:color="auto" w:fill="FFFFFF" w:themeFill="background1"/>
            <w:vAlign w:val="center"/>
          </w:tcPr>
          <w:p w14:paraId="47FA35B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64EAF62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DDC2C93" w14:textId="77777777" w:rsidTr="00924275">
        <w:trPr>
          <w:trHeight w:val="510"/>
          <w:jc w:val="center"/>
        </w:trPr>
        <w:tc>
          <w:tcPr>
            <w:tcW w:w="1361" w:type="dxa"/>
            <w:shd w:val="clear" w:color="auto" w:fill="EAF1DD" w:themeFill="accent3" w:themeFillTint="33"/>
            <w:noWrap/>
            <w:vAlign w:val="center"/>
          </w:tcPr>
          <w:p w14:paraId="2310200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Moisture (% fw)</w:t>
            </w:r>
          </w:p>
        </w:tc>
        <w:tc>
          <w:tcPr>
            <w:tcW w:w="1247" w:type="dxa"/>
            <w:shd w:val="clear" w:color="auto" w:fill="EAF1DD" w:themeFill="accent3" w:themeFillTint="33"/>
            <w:vAlign w:val="center"/>
          </w:tcPr>
          <w:p w14:paraId="3CAA177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9.73±2.78</w:t>
            </w:r>
          </w:p>
        </w:tc>
        <w:tc>
          <w:tcPr>
            <w:tcW w:w="1247" w:type="dxa"/>
            <w:shd w:val="clear" w:color="auto" w:fill="EAF1DD" w:themeFill="accent3" w:themeFillTint="33"/>
            <w:vAlign w:val="center"/>
          </w:tcPr>
          <w:p w14:paraId="645234E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9.49±2.28</w:t>
            </w:r>
          </w:p>
        </w:tc>
        <w:tc>
          <w:tcPr>
            <w:tcW w:w="1333" w:type="dxa"/>
            <w:shd w:val="clear" w:color="auto" w:fill="FDE9D9" w:themeFill="accent6" w:themeFillTint="33"/>
            <w:vAlign w:val="center"/>
          </w:tcPr>
          <w:p w14:paraId="40C4362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11.54±4.20</w:t>
            </w:r>
            <w:r w:rsidRPr="004A7168">
              <w:rPr>
                <w:rFonts w:cs="Arial"/>
                <w:color w:val="000000" w:themeColor="text1"/>
                <w:sz w:val="18"/>
                <w:szCs w:val="18"/>
                <w:vertAlign w:val="superscript"/>
              </w:rPr>
              <w:t>4</w:t>
            </w:r>
          </w:p>
        </w:tc>
        <w:tc>
          <w:tcPr>
            <w:tcW w:w="851" w:type="dxa"/>
            <w:shd w:val="clear" w:color="auto" w:fill="EAF1DD" w:themeFill="accent3" w:themeFillTint="33"/>
            <w:vAlign w:val="center"/>
          </w:tcPr>
          <w:p w14:paraId="425DF41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0.922</w:t>
            </w:r>
          </w:p>
        </w:tc>
        <w:tc>
          <w:tcPr>
            <w:tcW w:w="992" w:type="dxa"/>
            <w:shd w:val="clear" w:color="auto" w:fill="EAF1DD" w:themeFill="accent3" w:themeFillTint="33"/>
            <w:vAlign w:val="center"/>
          </w:tcPr>
          <w:p w14:paraId="29692D15"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0.01</w:t>
            </w:r>
          </w:p>
        </w:tc>
        <w:tc>
          <w:tcPr>
            <w:tcW w:w="1022" w:type="dxa"/>
            <w:shd w:val="clear" w:color="auto" w:fill="EAF1DD" w:themeFill="accent3" w:themeFillTint="33"/>
            <w:vAlign w:val="center"/>
          </w:tcPr>
          <w:p w14:paraId="42F3509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0B67F2D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w:t>
            </w:r>
          </w:p>
        </w:tc>
      </w:tr>
      <w:tr w:rsidR="00EC65B9" w:rsidRPr="00420FFA" w14:paraId="23376D5D" w14:textId="77777777" w:rsidTr="00924275">
        <w:trPr>
          <w:trHeight w:val="510"/>
          <w:jc w:val="center"/>
        </w:trPr>
        <w:tc>
          <w:tcPr>
            <w:tcW w:w="1361" w:type="dxa"/>
            <w:shd w:val="clear" w:color="auto" w:fill="FFFFFF" w:themeFill="background1"/>
            <w:noWrap/>
            <w:vAlign w:val="center"/>
          </w:tcPr>
          <w:p w14:paraId="72A6D0A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lastRenderedPageBreak/>
              <w:t xml:space="preserve">Palmitic </w:t>
            </w:r>
            <w:r>
              <w:rPr>
                <w:rFonts w:cs="Arial"/>
                <w:color w:val="000000" w:themeColor="text1"/>
                <w:sz w:val="18"/>
                <w:szCs w:val="18"/>
              </w:rPr>
              <w:t>acid (%total)</w:t>
            </w:r>
          </w:p>
        </w:tc>
        <w:tc>
          <w:tcPr>
            <w:tcW w:w="1247" w:type="dxa"/>
            <w:shd w:val="clear" w:color="auto" w:fill="FFFFFF" w:themeFill="background1"/>
            <w:vAlign w:val="center"/>
          </w:tcPr>
          <w:p w14:paraId="049F7AED"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4.17±0.18</w:t>
            </w:r>
          </w:p>
        </w:tc>
        <w:tc>
          <w:tcPr>
            <w:tcW w:w="1247" w:type="dxa"/>
            <w:shd w:val="clear" w:color="auto" w:fill="FFFFFF" w:themeFill="background1"/>
            <w:vAlign w:val="center"/>
          </w:tcPr>
          <w:p w14:paraId="753B8B1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4.21±0.20</w:t>
            </w:r>
          </w:p>
        </w:tc>
        <w:tc>
          <w:tcPr>
            <w:tcW w:w="1333" w:type="dxa"/>
            <w:shd w:val="clear" w:color="auto" w:fill="FDE9D9" w:themeFill="accent6" w:themeFillTint="33"/>
            <w:vAlign w:val="center"/>
          </w:tcPr>
          <w:p w14:paraId="08531B7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4.34±0.20</w:t>
            </w:r>
            <w:r w:rsidRPr="004A7168">
              <w:rPr>
                <w:rFonts w:cs="Arial"/>
                <w:color w:val="000000" w:themeColor="text1"/>
                <w:sz w:val="18"/>
                <w:szCs w:val="18"/>
                <w:vertAlign w:val="superscript"/>
              </w:rPr>
              <w:t>4</w:t>
            </w:r>
          </w:p>
        </w:tc>
        <w:tc>
          <w:tcPr>
            <w:tcW w:w="851" w:type="dxa"/>
            <w:shd w:val="clear" w:color="auto" w:fill="FFFFFF" w:themeFill="background1"/>
            <w:vAlign w:val="center"/>
          </w:tcPr>
          <w:p w14:paraId="77525E40"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0.357</w:t>
            </w:r>
          </w:p>
        </w:tc>
        <w:tc>
          <w:tcPr>
            <w:tcW w:w="992" w:type="dxa"/>
            <w:shd w:val="clear" w:color="auto" w:fill="FFFFFF" w:themeFill="background1"/>
            <w:vAlign w:val="center"/>
          </w:tcPr>
          <w:p w14:paraId="2DF6C745"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0.013</w:t>
            </w:r>
          </w:p>
        </w:tc>
        <w:tc>
          <w:tcPr>
            <w:tcW w:w="1022" w:type="dxa"/>
            <w:shd w:val="clear" w:color="auto" w:fill="FFFFFF" w:themeFill="background1"/>
            <w:vAlign w:val="center"/>
          </w:tcPr>
          <w:p w14:paraId="6F476C0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2207E05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696755FA" w14:textId="77777777" w:rsidTr="00924275">
        <w:trPr>
          <w:trHeight w:val="510"/>
          <w:jc w:val="center"/>
        </w:trPr>
        <w:tc>
          <w:tcPr>
            <w:tcW w:w="1361" w:type="dxa"/>
            <w:shd w:val="clear" w:color="auto" w:fill="EAF1DD" w:themeFill="accent3" w:themeFillTint="33"/>
            <w:noWrap/>
            <w:vAlign w:val="center"/>
          </w:tcPr>
          <w:p w14:paraId="206B3BE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 xml:space="preserve">Stearic </w:t>
            </w:r>
            <w:r>
              <w:rPr>
                <w:rFonts w:cs="Arial"/>
                <w:color w:val="000000" w:themeColor="text1"/>
                <w:sz w:val="18"/>
                <w:szCs w:val="18"/>
              </w:rPr>
              <w:t>acid (% total)</w:t>
            </w:r>
          </w:p>
        </w:tc>
        <w:tc>
          <w:tcPr>
            <w:tcW w:w="1247" w:type="dxa"/>
            <w:shd w:val="clear" w:color="auto" w:fill="EAF1DD" w:themeFill="accent3" w:themeFillTint="33"/>
            <w:vAlign w:val="center"/>
          </w:tcPr>
          <w:p w14:paraId="4CE548A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2.16±0.25</w:t>
            </w:r>
          </w:p>
        </w:tc>
        <w:tc>
          <w:tcPr>
            <w:tcW w:w="1247" w:type="dxa"/>
            <w:shd w:val="clear" w:color="auto" w:fill="EAF1DD" w:themeFill="accent3" w:themeFillTint="33"/>
            <w:vAlign w:val="center"/>
          </w:tcPr>
          <w:p w14:paraId="1321430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2.22±0.28</w:t>
            </w:r>
          </w:p>
        </w:tc>
        <w:tc>
          <w:tcPr>
            <w:tcW w:w="1333" w:type="dxa"/>
            <w:shd w:val="clear" w:color="auto" w:fill="FDE9D9" w:themeFill="accent6" w:themeFillTint="33"/>
            <w:vAlign w:val="center"/>
          </w:tcPr>
          <w:p w14:paraId="7E152FE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2.27±0.34</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0DDB418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0.236</w:t>
            </w:r>
          </w:p>
        </w:tc>
        <w:tc>
          <w:tcPr>
            <w:tcW w:w="992" w:type="dxa"/>
            <w:shd w:val="clear" w:color="auto" w:fill="EAF1DD" w:themeFill="accent3" w:themeFillTint="33"/>
            <w:vAlign w:val="center"/>
          </w:tcPr>
          <w:p w14:paraId="2F6EA4A7"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0.009</w:t>
            </w:r>
          </w:p>
        </w:tc>
        <w:tc>
          <w:tcPr>
            <w:tcW w:w="1022" w:type="dxa"/>
            <w:shd w:val="clear" w:color="auto" w:fill="EAF1DD" w:themeFill="accent3" w:themeFillTint="33"/>
            <w:vAlign w:val="center"/>
          </w:tcPr>
          <w:p w14:paraId="42AF59C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5C133F11"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4702CCC8" w14:textId="77777777" w:rsidTr="00924275">
        <w:trPr>
          <w:trHeight w:val="510"/>
          <w:jc w:val="center"/>
        </w:trPr>
        <w:tc>
          <w:tcPr>
            <w:tcW w:w="1361" w:type="dxa"/>
            <w:shd w:val="clear" w:color="auto" w:fill="FFFFFF" w:themeFill="background1"/>
            <w:noWrap/>
            <w:vAlign w:val="center"/>
          </w:tcPr>
          <w:p w14:paraId="3C5A39C1"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 xml:space="preserve">Oleic </w:t>
            </w:r>
            <w:r>
              <w:rPr>
                <w:rFonts w:cs="Arial"/>
                <w:color w:val="000000" w:themeColor="text1"/>
                <w:sz w:val="18"/>
                <w:szCs w:val="18"/>
              </w:rPr>
              <w:t xml:space="preserve">acid (% total </w:t>
            </w:r>
            <w:r w:rsidRPr="004A7168">
              <w:rPr>
                <w:rFonts w:cs="Arial"/>
                <w:color w:val="000000" w:themeColor="text1"/>
                <w:sz w:val="18"/>
                <w:szCs w:val="18"/>
              </w:rPr>
              <w:t>)</w:t>
            </w:r>
          </w:p>
        </w:tc>
        <w:tc>
          <w:tcPr>
            <w:tcW w:w="1247" w:type="dxa"/>
            <w:shd w:val="clear" w:color="auto" w:fill="FFFFFF" w:themeFill="background1"/>
            <w:vAlign w:val="center"/>
          </w:tcPr>
          <w:p w14:paraId="6C66641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63.1±2.0</w:t>
            </w:r>
          </w:p>
        </w:tc>
        <w:tc>
          <w:tcPr>
            <w:tcW w:w="1247" w:type="dxa"/>
            <w:shd w:val="clear" w:color="auto" w:fill="FFFFFF" w:themeFill="background1"/>
            <w:vAlign w:val="center"/>
          </w:tcPr>
          <w:p w14:paraId="2F1AFBC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63.5±2.0</w:t>
            </w:r>
          </w:p>
        </w:tc>
        <w:tc>
          <w:tcPr>
            <w:tcW w:w="1333" w:type="dxa"/>
            <w:shd w:val="clear" w:color="auto" w:fill="E5DFEC" w:themeFill="accent4" w:themeFillTint="33"/>
            <w:vAlign w:val="center"/>
          </w:tcPr>
          <w:p w14:paraId="393911E0"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61.6±2.5</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5D6F946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0.433</w:t>
            </w:r>
          </w:p>
        </w:tc>
        <w:tc>
          <w:tcPr>
            <w:tcW w:w="992" w:type="dxa"/>
            <w:shd w:val="clear" w:color="auto" w:fill="FFFFFF" w:themeFill="background1"/>
            <w:vAlign w:val="center"/>
          </w:tcPr>
          <w:p w14:paraId="1C9CAE40"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FFFFFF" w:themeFill="background1"/>
            <w:vAlign w:val="center"/>
          </w:tcPr>
          <w:p w14:paraId="41D592A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3967325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 – control also higher</w:t>
            </w:r>
          </w:p>
        </w:tc>
      </w:tr>
      <w:tr w:rsidR="00EC65B9" w:rsidRPr="00420FFA" w14:paraId="540A26EE" w14:textId="77777777" w:rsidTr="00924275">
        <w:trPr>
          <w:trHeight w:val="510"/>
          <w:jc w:val="center"/>
        </w:trPr>
        <w:tc>
          <w:tcPr>
            <w:tcW w:w="1361" w:type="dxa"/>
            <w:shd w:val="clear" w:color="auto" w:fill="EAF1DD" w:themeFill="accent3" w:themeFillTint="33"/>
            <w:noWrap/>
            <w:vAlign w:val="center"/>
          </w:tcPr>
          <w:p w14:paraId="5176EFB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 xml:space="preserve">Arachidic </w:t>
            </w:r>
            <w:r>
              <w:rPr>
                <w:rFonts w:cs="Arial"/>
                <w:color w:val="000000" w:themeColor="text1"/>
                <w:sz w:val="18"/>
                <w:szCs w:val="18"/>
              </w:rPr>
              <w:t>acid (% total</w:t>
            </w:r>
            <w:r w:rsidRPr="004A7168">
              <w:rPr>
                <w:rFonts w:cs="Arial"/>
                <w:color w:val="000000" w:themeColor="text1"/>
                <w:sz w:val="18"/>
                <w:szCs w:val="18"/>
              </w:rPr>
              <w:t>)</w:t>
            </w:r>
          </w:p>
        </w:tc>
        <w:tc>
          <w:tcPr>
            <w:tcW w:w="1247" w:type="dxa"/>
            <w:shd w:val="clear" w:color="auto" w:fill="EAF1DD" w:themeFill="accent3" w:themeFillTint="33"/>
            <w:vAlign w:val="center"/>
          </w:tcPr>
          <w:p w14:paraId="5AD64DBD"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0.731±0.068</w:t>
            </w:r>
          </w:p>
        </w:tc>
        <w:tc>
          <w:tcPr>
            <w:tcW w:w="1247" w:type="dxa"/>
            <w:shd w:val="clear" w:color="auto" w:fill="EAF1DD" w:themeFill="accent3" w:themeFillTint="33"/>
            <w:vAlign w:val="center"/>
          </w:tcPr>
          <w:p w14:paraId="6A712FD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0.757±0.080</w:t>
            </w:r>
          </w:p>
        </w:tc>
        <w:tc>
          <w:tcPr>
            <w:tcW w:w="1333" w:type="dxa"/>
            <w:shd w:val="clear" w:color="auto" w:fill="FDE9D9" w:themeFill="accent6" w:themeFillTint="33"/>
            <w:vAlign w:val="center"/>
          </w:tcPr>
          <w:p w14:paraId="13451F5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0.782±0.103</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5DCF934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0.097</w:t>
            </w:r>
          </w:p>
        </w:tc>
        <w:tc>
          <w:tcPr>
            <w:tcW w:w="992" w:type="dxa"/>
            <w:shd w:val="clear" w:color="auto" w:fill="EAF1DD" w:themeFill="accent3" w:themeFillTint="33"/>
            <w:vAlign w:val="center"/>
          </w:tcPr>
          <w:p w14:paraId="7F523314"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0F7E851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03C5BDA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766CBFE" w14:textId="77777777" w:rsidTr="00924275">
        <w:trPr>
          <w:trHeight w:val="510"/>
          <w:jc w:val="center"/>
        </w:trPr>
        <w:tc>
          <w:tcPr>
            <w:tcW w:w="1361" w:type="dxa"/>
            <w:shd w:val="clear" w:color="auto" w:fill="FFFFFF" w:themeFill="background1"/>
            <w:noWrap/>
            <w:vAlign w:val="center"/>
          </w:tcPr>
          <w:p w14:paraId="24846230"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 xml:space="preserve">Behenic </w:t>
            </w:r>
            <w:r>
              <w:rPr>
                <w:rFonts w:cs="Arial"/>
                <w:color w:val="000000" w:themeColor="text1"/>
                <w:sz w:val="18"/>
                <w:szCs w:val="18"/>
              </w:rPr>
              <w:t>acid (% total</w:t>
            </w:r>
            <w:r w:rsidRPr="004A7168">
              <w:rPr>
                <w:rFonts w:cs="Arial"/>
                <w:color w:val="000000" w:themeColor="text1"/>
                <w:sz w:val="18"/>
                <w:szCs w:val="18"/>
              </w:rPr>
              <w:t>)</w:t>
            </w:r>
          </w:p>
        </w:tc>
        <w:tc>
          <w:tcPr>
            <w:tcW w:w="1247" w:type="dxa"/>
            <w:shd w:val="clear" w:color="auto" w:fill="FFFFFF" w:themeFill="background1"/>
            <w:vAlign w:val="center"/>
          </w:tcPr>
          <w:p w14:paraId="05B78A3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0.408±0.042</w:t>
            </w:r>
          </w:p>
        </w:tc>
        <w:tc>
          <w:tcPr>
            <w:tcW w:w="1247" w:type="dxa"/>
            <w:shd w:val="clear" w:color="auto" w:fill="FFFFFF" w:themeFill="background1"/>
            <w:vAlign w:val="center"/>
          </w:tcPr>
          <w:p w14:paraId="6D3EB52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0.425±0.049</w:t>
            </w:r>
          </w:p>
        </w:tc>
        <w:tc>
          <w:tcPr>
            <w:tcW w:w="1333" w:type="dxa"/>
            <w:shd w:val="clear" w:color="auto" w:fill="FDE9D9" w:themeFill="accent6" w:themeFillTint="33"/>
            <w:vAlign w:val="center"/>
          </w:tcPr>
          <w:p w14:paraId="19B86A1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0.452±0.060</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52CAD4C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0.076</w:t>
            </w:r>
          </w:p>
        </w:tc>
        <w:tc>
          <w:tcPr>
            <w:tcW w:w="992" w:type="dxa"/>
            <w:shd w:val="clear" w:color="auto" w:fill="FFFFFF" w:themeFill="background1"/>
            <w:vAlign w:val="center"/>
          </w:tcPr>
          <w:p w14:paraId="4A521A74"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FFFFFF" w:themeFill="background1"/>
            <w:vAlign w:val="center"/>
          </w:tcPr>
          <w:p w14:paraId="4ACDC28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52ABE46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0633BC53" w14:textId="77777777" w:rsidTr="00924275">
        <w:trPr>
          <w:trHeight w:val="510"/>
          <w:jc w:val="center"/>
        </w:trPr>
        <w:tc>
          <w:tcPr>
            <w:tcW w:w="1361" w:type="dxa"/>
            <w:shd w:val="clear" w:color="auto" w:fill="EAF1DD" w:themeFill="accent3" w:themeFillTint="33"/>
            <w:noWrap/>
            <w:vAlign w:val="center"/>
          </w:tcPr>
          <w:p w14:paraId="2DAC9110" w14:textId="77777777" w:rsidR="00EC65B9" w:rsidRPr="004A7168" w:rsidRDefault="00EC65B9" w:rsidP="00924275">
            <w:pPr>
              <w:jc w:val="center"/>
              <w:rPr>
                <w:rFonts w:cs="Arial"/>
                <w:color w:val="000000" w:themeColor="text1"/>
                <w:sz w:val="18"/>
                <w:szCs w:val="18"/>
              </w:rPr>
            </w:pPr>
            <w:r>
              <w:rPr>
                <w:rFonts w:cs="Arial"/>
                <w:color w:val="000000" w:themeColor="text1"/>
                <w:sz w:val="18"/>
                <w:szCs w:val="18"/>
              </w:rPr>
              <w:t>Lignoceric acid (% total</w:t>
            </w:r>
            <w:r w:rsidRPr="004A7168">
              <w:rPr>
                <w:rFonts w:cs="Arial"/>
                <w:color w:val="000000" w:themeColor="text1"/>
                <w:sz w:val="18"/>
                <w:szCs w:val="18"/>
              </w:rPr>
              <w:t>)</w:t>
            </w:r>
          </w:p>
        </w:tc>
        <w:tc>
          <w:tcPr>
            <w:tcW w:w="1247" w:type="dxa"/>
            <w:shd w:val="clear" w:color="auto" w:fill="EAF1DD" w:themeFill="accent3" w:themeFillTint="33"/>
            <w:vAlign w:val="center"/>
          </w:tcPr>
          <w:p w14:paraId="5045D8B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0.198±0.039</w:t>
            </w:r>
          </w:p>
        </w:tc>
        <w:tc>
          <w:tcPr>
            <w:tcW w:w="1247" w:type="dxa"/>
            <w:shd w:val="clear" w:color="auto" w:fill="EAF1DD" w:themeFill="accent3" w:themeFillTint="33"/>
            <w:vAlign w:val="center"/>
          </w:tcPr>
          <w:p w14:paraId="2297F6B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0.209±0.043</w:t>
            </w:r>
          </w:p>
        </w:tc>
        <w:tc>
          <w:tcPr>
            <w:tcW w:w="1333" w:type="dxa"/>
            <w:shd w:val="clear" w:color="auto" w:fill="FDE9D9" w:themeFill="accent6" w:themeFillTint="33"/>
            <w:vAlign w:val="center"/>
          </w:tcPr>
          <w:p w14:paraId="3AE1A01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0.234±0.055</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7CC6FCE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0.132</w:t>
            </w:r>
          </w:p>
        </w:tc>
        <w:tc>
          <w:tcPr>
            <w:tcW w:w="992" w:type="dxa"/>
            <w:shd w:val="clear" w:color="auto" w:fill="EAF1DD" w:themeFill="accent3" w:themeFillTint="33"/>
            <w:vAlign w:val="center"/>
          </w:tcPr>
          <w:p w14:paraId="78E1EBE2"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0E232A9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6250B6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w:t>
            </w:r>
          </w:p>
        </w:tc>
      </w:tr>
      <w:tr w:rsidR="00EC65B9" w:rsidRPr="00420FFA" w14:paraId="5C24226B" w14:textId="77777777" w:rsidTr="00924275">
        <w:trPr>
          <w:trHeight w:val="510"/>
          <w:jc w:val="center"/>
        </w:trPr>
        <w:tc>
          <w:tcPr>
            <w:tcW w:w="1361" w:type="dxa"/>
            <w:shd w:val="clear" w:color="auto" w:fill="FFFFFF" w:themeFill="background1"/>
            <w:noWrap/>
            <w:vAlign w:val="center"/>
          </w:tcPr>
          <w:p w14:paraId="09CC755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Nervonic</w:t>
            </w:r>
            <w:r>
              <w:rPr>
                <w:rFonts w:cs="Arial"/>
                <w:color w:val="000000" w:themeColor="text1"/>
                <w:sz w:val="18"/>
                <w:szCs w:val="18"/>
              </w:rPr>
              <w:t xml:space="preserve"> acid</w:t>
            </w:r>
          </w:p>
          <w:p w14:paraId="03BDBB56" w14:textId="77777777" w:rsidR="00EC65B9" w:rsidRPr="004A7168" w:rsidRDefault="00EC65B9" w:rsidP="00924275">
            <w:pPr>
              <w:jc w:val="center"/>
              <w:rPr>
                <w:rFonts w:cs="Arial"/>
                <w:color w:val="000000" w:themeColor="text1"/>
                <w:sz w:val="18"/>
                <w:szCs w:val="18"/>
              </w:rPr>
            </w:pPr>
            <w:r>
              <w:rPr>
                <w:rFonts w:cs="Arial"/>
                <w:color w:val="000000" w:themeColor="text1"/>
                <w:sz w:val="18"/>
                <w:szCs w:val="18"/>
              </w:rPr>
              <w:t>(% total</w:t>
            </w:r>
            <w:r w:rsidRPr="004A7168">
              <w:rPr>
                <w:rFonts w:cs="Arial"/>
                <w:color w:val="000000" w:themeColor="text1"/>
                <w:sz w:val="18"/>
                <w:szCs w:val="18"/>
              </w:rPr>
              <w:t>)</w:t>
            </w:r>
          </w:p>
        </w:tc>
        <w:tc>
          <w:tcPr>
            <w:tcW w:w="1247" w:type="dxa"/>
            <w:shd w:val="clear" w:color="auto" w:fill="FFFFFF" w:themeFill="background1"/>
            <w:vAlign w:val="center"/>
          </w:tcPr>
          <w:p w14:paraId="20C87EF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0.195±0.043</w:t>
            </w:r>
          </w:p>
        </w:tc>
        <w:tc>
          <w:tcPr>
            <w:tcW w:w="1247" w:type="dxa"/>
            <w:shd w:val="clear" w:color="auto" w:fill="FFFFFF" w:themeFill="background1"/>
            <w:vAlign w:val="center"/>
          </w:tcPr>
          <w:p w14:paraId="46BC012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0.191±0.050</w:t>
            </w:r>
          </w:p>
        </w:tc>
        <w:tc>
          <w:tcPr>
            <w:tcW w:w="1333" w:type="dxa"/>
            <w:shd w:val="clear" w:color="auto" w:fill="FDE9D9" w:themeFill="accent6" w:themeFillTint="33"/>
            <w:vAlign w:val="center"/>
          </w:tcPr>
          <w:p w14:paraId="3585282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0.221±0.052</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506365F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0.896</w:t>
            </w:r>
          </w:p>
        </w:tc>
        <w:tc>
          <w:tcPr>
            <w:tcW w:w="992" w:type="dxa"/>
            <w:shd w:val="clear" w:color="auto" w:fill="FFFFFF" w:themeFill="background1"/>
            <w:vAlign w:val="center"/>
          </w:tcPr>
          <w:p w14:paraId="104ACAB6"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0.018</w:t>
            </w:r>
          </w:p>
        </w:tc>
        <w:tc>
          <w:tcPr>
            <w:tcW w:w="1022" w:type="dxa"/>
            <w:shd w:val="clear" w:color="auto" w:fill="FFFFFF" w:themeFill="background1"/>
            <w:vAlign w:val="center"/>
          </w:tcPr>
          <w:p w14:paraId="204F5AC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1F5A0951"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5B3099D5" w14:textId="77777777" w:rsidTr="00924275">
        <w:trPr>
          <w:trHeight w:val="510"/>
          <w:jc w:val="center"/>
        </w:trPr>
        <w:tc>
          <w:tcPr>
            <w:tcW w:w="1361" w:type="dxa"/>
            <w:shd w:val="clear" w:color="auto" w:fill="EAF1DD" w:themeFill="accent3" w:themeFillTint="33"/>
            <w:noWrap/>
            <w:vAlign w:val="center"/>
          </w:tcPr>
          <w:p w14:paraId="7149535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Alanine</w:t>
            </w:r>
            <w:r>
              <w:rPr>
                <w:rFonts w:cs="Arial"/>
                <w:color w:val="000000" w:themeColor="text1"/>
                <w:sz w:val="18"/>
                <w:szCs w:val="18"/>
              </w:rPr>
              <w:t xml:space="preserve"> (% dw)</w:t>
            </w:r>
          </w:p>
        </w:tc>
        <w:tc>
          <w:tcPr>
            <w:tcW w:w="1247" w:type="dxa"/>
            <w:shd w:val="clear" w:color="auto" w:fill="EAF1DD" w:themeFill="accent3" w:themeFillTint="33"/>
            <w:vAlign w:val="center"/>
          </w:tcPr>
          <w:p w14:paraId="250EFCB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1.27±0.10</w:t>
            </w:r>
          </w:p>
        </w:tc>
        <w:tc>
          <w:tcPr>
            <w:tcW w:w="1247" w:type="dxa"/>
            <w:shd w:val="clear" w:color="auto" w:fill="EAF1DD" w:themeFill="accent3" w:themeFillTint="33"/>
            <w:vAlign w:val="center"/>
          </w:tcPr>
          <w:p w14:paraId="4B0280C1"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1.28±0.09</w:t>
            </w:r>
          </w:p>
        </w:tc>
        <w:tc>
          <w:tcPr>
            <w:tcW w:w="1333" w:type="dxa"/>
            <w:shd w:val="clear" w:color="auto" w:fill="FDE9D9" w:themeFill="accent6" w:themeFillTint="33"/>
            <w:vAlign w:val="center"/>
          </w:tcPr>
          <w:p w14:paraId="3A123864" w14:textId="77777777" w:rsidR="00EC65B9" w:rsidRPr="004A7168" w:rsidRDefault="00EC65B9" w:rsidP="00924275">
            <w:pPr>
              <w:jc w:val="center"/>
              <w:rPr>
                <w:rFonts w:cs="Arial"/>
                <w:color w:val="000000" w:themeColor="text1"/>
                <w:sz w:val="18"/>
                <w:szCs w:val="18"/>
                <w:vertAlign w:val="superscript"/>
              </w:rPr>
            </w:pPr>
            <w:r w:rsidRPr="004A7168">
              <w:rPr>
                <w:rFonts w:cs="Arial"/>
                <w:color w:val="000000" w:themeColor="text1"/>
                <w:sz w:val="18"/>
                <w:szCs w:val="18"/>
              </w:rPr>
              <w:t>1.32±0.06</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680A2AB8" w14:textId="77777777" w:rsidR="00EC65B9" w:rsidRPr="004A7168" w:rsidRDefault="00EC65B9" w:rsidP="00924275">
            <w:pPr>
              <w:jc w:val="center"/>
              <w:rPr>
                <w:rFonts w:cs="Arial"/>
                <w:color w:val="000000" w:themeColor="text1"/>
                <w:sz w:val="18"/>
                <w:szCs w:val="18"/>
                <w:vertAlign w:val="superscript"/>
              </w:rPr>
            </w:pPr>
            <w:r w:rsidRPr="004A7168">
              <w:rPr>
                <w:rFonts w:cs="Arial"/>
                <w:color w:val="000000" w:themeColor="text1"/>
                <w:sz w:val="18"/>
                <w:szCs w:val="18"/>
              </w:rPr>
              <w:t>0.984</w:t>
            </w:r>
          </w:p>
        </w:tc>
        <w:tc>
          <w:tcPr>
            <w:tcW w:w="992" w:type="dxa"/>
            <w:shd w:val="clear" w:color="auto" w:fill="EAF1DD" w:themeFill="accent3" w:themeFillTint="33"/>
            <w:vAlign w:val="center"/>
          </w:tcPr>
          <w:p w14:paraId="6915BF3D"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0.005</w:t>
            </w:r>
          </w:p>
        </w:tc>
        <w:tc>
          <w:tcPr>
            <w:tcW w:w="1022" w:type="dxa"/>
            <w:shd w:val="clear" w:color="auto" w:fill="EAF1DD" w:themeFill="accent3" w:themeFillTint="33"/>
            <w:vAlign w:val="center"/>
          </w:tcPr>
          <w:p w14:paraId="025684A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4C2C511D"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4A51F9D" w14:textId="77777777" w:rsidTr="00924275">
        <w:trPr>
          <w:trHeight w:val="510"/>
          <w:jc w:val="center"/>
        </w:trPr>
        <w:tc>
          <w:tcPr>
            <w:tcW w:w="1361" w:type="dxa"/>
            <w:shd w:val="clear" w:color="auto" w:fill="auto"/>
            <w:noWrap/>
            <w:vAlign w:val="center"/>
          </w:tcPr>
          <w:p w14:paraId="728A581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Cysteine</w:t>
            </w:r>
            <w:r>
              <w:rPr>
                <w:rFonts w:cs="Arial"/>
                <w:color w:val="000000" w:themeColor="text1"/>
                <w:sz w:val="18"/>
                <w:szCs w:val="18"/>
              </w:rPr>
              <w:t xml:space="preserve"> (% dw)</w:t>
            </w:r>
          </w:p>
        </w:tc>
        <w:tc>
          <w:tcPr>
            <w:tcW w:w="1247" w:type="dxa"/>
            <w:shd w:val="clear" w:color="auto" w:fill="auto"/>
            <w:vAlign w:val="center"/>
          </w:tcPr>
          <w:p w14:paraId="40636BA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0.627±0.064</w:t>
            </w:r>
          </w:p>
        </w:tc>
        <w:tc>
          <w:tcPr>
            <w:tcW w:w="1247" w:type="dxa"/>
            <w:shd w:val="clear" w:color="auto" w:fill="auto"/>
            <w:vAlign w:val="center"/>
          </w:tcPr>
          <w:p w14:paraId="4125260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0.639±0.059</w:t>
            </w:r>
          </w:p>
        </w:tc>
        <w:tc>
          <w:tcPr>
            <w:tcW w:w="1333" w:type="dxa"/>
            <w:shd w:val="clear" w:color="auto" w:fill="FDE9D9" w:themeFill="accent6" w:themeFillTint="33"/>
            <w:vAlign w:val="center"/>
          </w:tcPr>
          <w:p w14:paraId="4931B8C2" w14:textId="77777777" w:rsidR="00EC65B9" w:rsidRPr="004A7168" w:rsidRDefault="00EC65B9" w:rsidP="00924275">
            <w:pPr>
              <w:jc w:val="center"/>
              <w:rPr>
                <w:rFonts w:cs="Arial"/>
                <w:color w:val="000000" w:themeColor="text1"/>
                <w:sz w:val="18"/>
                <w:szCs w:val="18"/>
                <w:vertAlign w:val="superscript"/>
              </w:rPr>
            </w:pPr>
            <w:r w:rsidRPr="004A7168">
              <w:rPr>
                <w:rFonts w:cs="Arial"/>
                <w:color w:val="000000" w:themeColor="text1"/>
                <w:sz w:val="18"/>
                <w:szCs w:val="18"/>
              </w:rPr>
              <w:t>0.644±0.056</w:t>
            </w:r>
            <w:r w:rsidRPr="004A7168">
              <w:rPr>
                <w:rFonts w:cs="Arial"/>
                <w:color w:val="000000" w:themeColor="text1"/>
                <w:sz w:val="18"/>
                <w:szCs w:val="18"/>
                <w:vertAlign w:val="superscript"/>
              </w:rPr>
              <w:t>2</w:t>
            </w:r>
          </w:p>
        </w:tc>
        <w:tc>
          <w:tcPr>
            <w:tcW w:w="851" w:type="dxa"/>
            <w:shd w:val="clear" w:color="auto" w:fill="auto"/>
            <w:vAlign w:val="center"/>
          </w:tcPr>
          <w:p w14:paraId="1389C3D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0.428</w:t>
            </w:r>
          </w:p>
        </w:tc>
        <w:tc>
          <w:tcPr>
            <w:tcW w:w="992" w:type="dxa"/>
            <w:shd w:val="clear" w:color="auto" w:fill="auto"/>
            <w:vAlign w:val="center"/>
          </w:tcPr>
          <w:p w14:paraId="272BE9E0"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0.039</w:t>
            </w:r>
          </w:p>
        </w:tc>
        <w:tc>
          <w:tcPr>
            <w:tcW w:w="1022" w:type="dxa"/>
            <w:shd w:val="clear" w:color="auto" w:fill="auto"/>
            <w:vAlign w:val="center"/>
          </w:tcPr>
          <w:p w14:paraId="5AB80220"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603677F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 – control also higher</w:t>
            </w:r>
          </w:p>
        </w:tc>
      </w:tr>
      <w:tr w:rsidR="00EC65B9" w:rsidRPr="00420FFA" w14:paraId="402E2903" w14:textId="77777777" w:rsidTr="00924275">
        <w:trPr>
          <w:trHeight w:val="510"/>
          <w:jc w:val="center"/>
        </w:trPr>
        <w:tc>
          <w:tcPr>
            <w:tcW w:w="1361" w:type="dxa"/>
            <w:shd w:val="clear" w:color="auto" w:fill="EAF1DD" w:themeFill="accent3" w:themeFillTint="33"/>
            <w:noWrap/>
            <w:vAlign w:val="center"/>
          </w:tcPr>
          <w:p w14:paraId="6DBA9E8D"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Lysine</w:t>
            </w:r>
            <w:r>
              <w:rPr>
                <w:rFonts w:cs="Arial"/>
                <w:color w:val="000000" w:themeColor="text1"/>
                <w:sz w:val="18"/>
                <w:szCs w:val="18"/>
              </w:rPr>
              <w:t xml:space="preserve"> (% dw)</w:t>
            </w:r>
          </w:p>
        </w:tc>
        <w:tc>
          <w:tcPr>
            <w:tcW w:w="1247" w:type="dxa"/>
            <w:shd w:val="clear" w:color="auto" w:fill="EAF1DD" w:themeFill="accent3" w:themeFillTint="33"/>
            <w:vAlign w:val="center"/>
          </w:tcPr>
          <w:p w14:paraId="2B61833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1.52±0.11</w:t>
            </w:r>
          </w:p>
        </w:tc>
        <w:tc>
          <w:tcPr>
            <w:tcW w:w="1247" w:type="dxa"/>
            <w:shd w:val="clear" w:color="auto" w:fill="EAF1DD" w:themeFill="accent3" w:themeFillTint="33"/>
            <w:vAlign w:val="center"/>
          </w:tcPr>
          <w:p w14:paraId="56F4399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1.57±0.11</w:t>
            </w:r>
          </w:p>
        </w:tc>
        <w:tc>
          <w:tcPr>
            <w:tcW w:w="1333" w:type="dxa"/>
            <w:shd w:val="clear" w:color="auto" w:fill="FDE9D9" w:themeFill="accent6" w:themeFillTint="33"/>
            <w:vAlign w:val="center"/>
          </w:tcPr>
          <w:p w14:paraId="72521072" w14:textId="77777777" w:rsidR="00EC65B9" w:rsidRPr="004A7168" w:rsidRDefault="00EC65B9" w:rsidP="00924275">
            <w:pPr>
              <w:jc w:val="center"/>
              <w:rPr>
                <w:rFonts w:cs="Arial"/>
                <w:color w:val="000000" w:themeColor="text1"/>
                <w:sz w:val="18"/>
                <w:szCs w:val="18"/>
                <w:vertAlign w:val="superscript"/>
              </w:rPr>
            </w:pPr>
            <w:r w:rsidRPr="004A7168">
              <w:rPr>
                <w:rFonts w:cs="Arial"/>
                <w:color w:val="000000" w:themeColor="text1"/>
                <w:sz w:val="18"/>
                <w:szCs w:val="18"/>
              </w:rPr>
              <w:t>1.59±0.09</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514DE74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0.120</w:t>
            </w:r>
          </w:p>
        </w:tc>
        <w:tc>
          <w:tcPr>
            <w:tcW w:w="992" w:type="dxa"/>
            <w:shd w:val="clear" w:color="auto" w:fill="EAF1DD" w:themeFill="accent3" w:themeFillTint="33"/>
            <w:vAlign w:val="center"/>
          </w:tcPr>
          <w:p w14:paraId="34ADED4D"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0.002</w:t>
            </w:r>
          </w:p>
        </w:tc>
        <w:tc>
          <w:tcPr>
            <w:tcW w:w="1022" w:type="dxa"/>
            <w:shd w:val="clear" w:color="auto" w:fill="EAF1DD" w:themeFill="accent3" w:themeFillTint="33"/>
            <w:vAlign w:val="center"/>
          </w:tcPr>
          <w:p w14:paraId="0F75756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2825760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3435DFD" w14:textId="77777777" w:rsidTr="00924275">
        <w:trPr>
          <w:trHeight w:val="510"/>
          <w:jc w:val="center"/>
        </w:trPr>
        <w:tc>
          <w:tcPr>
            <w:tcW w:w="1361" w:type="dxa"/>
            <w:shd w:val="clear" w:color="auto" w:fill="FFFFFF" w:themeFill="background1"/>
            <w:noWrap/>
            <w:vAlign w:val="center"/>
          </w:tcPr>
          <w:p w14:paraId="45E8279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Methionine</w:t>
            </w:r>
            <w:r>
              <w:rPr>
                <w:rFonts w:cs="Arial"/>
                <w:color w:val="000000" w:themeColor="text1"/>
                <w:sz w:val="18"/>
                <w:szCs w:val="18"/>
              </w:rPr>
              <w:t xml:space="preserve"> (% dw)</w:t>
            </w:r>
          </w:p>
        </w:tc>
        <w:tc>
          <w:tcPr>
            <w:tcW w:w="1247" w:type="dxa"/>
            <w:shd w:val="clear" w:color="auto" w:fill="FFFFFF" w:themeFill="background1"/>
            <w:vAlign w:val="center"/>
          </w:tcPr>
          <w:p w14:paraId="76439AF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0.505±0.037</w:t>
            </w:r>
          </w:p>
        </w:tc>
        <w:tc>
          <w:tcPr>
            <w:tcW w:w="1247" w:type="dxa"/>
            <w:shd w:val="clear" w:color="auto" w:fill="FFFFFF" w:themeFill="background1"/>
            <w:vAlign w:val="center"/>
          </w:tcPr>
          <w:p w14:paraId="1A9D61D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0.511±0.040</w:t>
            </w:r>
          </w:p>
        </w:tc>
        <w:tc>
          <w:tcPr>
            <w:tcW w:w="1333" w:type="dxa"/>
            <w:shd w:val="clear" w:color="auto" w:fill="FDE9D9" w:themeFill="accent6" w:themeFillTint="33"/>
            <w:vAlign w:val="center"/>
          </w:tcPr>
          <w:p w14:paraId="22BEE958" w14:textId="77777777" w:rsidR="00EC65B9" w:rsidRPr="004A7168" w:rsidRDefault="00EC65B9" w:rsidP="00924275">
            <w:pPr>
              <w:jc w:val="center"/>
              <w:rPr>
                <w:rFonts w:cs="Arial"/>
                <w:color w:val="000000" w:themeColor="text1"/>
                <w:sz w:val="18"/>
                <w:szCs w:val="18"/>
                <w:vertAlign w:val="superscript"/>
              </w:rPr>
            </w:pPr>
            <w:r w:rsidRPr="004A7168">
              <w:rPr>
                <w:rFonts w:cs="Arial"/>
                <w:color w:val="000000" w:themeColor="text1"/>
                <w:sz w:val="18"/>
                <w:szCs w:val="18"/>
              </w:rPr>
              <w:t>0.522±0.035</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110A9AF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0.757</w:t>
            </w:r>
          </w:p>
        </w:tc>
        <w:tc>
          <w:tcPr>
            <w:tcW w:w="992" w:type="dxa"/>
            <w:shd w:val="clear" w:color="auto" w:fill="FFFFFF" w:themeFill="background1"/>
            <w:vAlign w:val="center"/>
          </w:tcPr>
          <w:p w14:paraId="5EE74F24"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0.021</w:t>
            </w:r>
          </w:p>
        </w:tc>
        <w:tc>
          <w:tcPr>
            <w:tcW w:w="1022" w:type="dxa"/>
            <w:shd w:val="clear" w:color="auto" w:fill="FFFFFF" w:themeFill="background1"/>
            <w:vAlign w:val="center"/>
          </w:tcPr>
          <w:p w14:paraId="6AD40360"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629257E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6CDD9AB6" w14:textId="77777777" w:rsidTr="00924275">
        <w:trPr>
          <w:trHeight w:val="510"/>
          <w:jc w:val="center"/>
        </w:trPr>
        <w:tc>
          <w:tcPr>
            <w:tcW w:w="1361" w:type="dxa"/>
            <w:shd w:val="clear" w:color="auto" w:fill="EAF1DD" w:themeFill="accent3" w:themeFillTint="33"/>
            <w:noWrap/>
            <w:vAlign w:val="center"/>
          </w:tcPr>
          <w:p w14:paraId="6A796C4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Phenylalanine</w:t>
            </w:r>
            <w:r>
              <w:rPr>
                <w:rFonts w:cs="Arial"/>
                <w:color w:val="000000" w:themeColor="text1"/>
                <w:sz w:val="18"/>
                <w:szCs w:val="18"/>
              </w:rPr>
              <w:t xml:space="preserve"> (% dw)</w:t>
            </w:r>
          </w:p>
        </w:tc>
        <w:tc>
          <w:tcPr>
            <w:tcW w:w="1247" w:type="dxa"/>
            <w:shd w:val="clear" w:color="auto" w:fill="EAF1DD" w:themeFill="accent3" w:themeFillTint="33"/>
            <w:vAlign w:val="center"/>
          </w:tcPr>
          <w:p w14:paraId="4F3CCB6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1.19±0.10</w:t>
            </w:r>
          </w:p>
        </w:tc>
        <w:tc>
          <w:tcPr>
            <w:tcW w:w="1247" w:type="dxa"/>
            <w:shd w:val="clear" w:color="auto" w:fill="EAF1DD" w:themeFill="accent3" w:themeFillTint="33"/>
            <w:vAlign w:val="center"/>
          </w:tcPr>
          <w:p w14:paraId="6A54B4F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1.20±0.10</w:t>
            </w:r>
          </w:p>
        </w:tc>
        <w:tc>
          <w:tcPr>
            <w:tcW w:w="1333" w:type="dxa"/>
            <w:shd w:val="clear" w:color="auto" w:fill="FDE9D9" w:themeFill="accent6" w:themeFillTint="33"/>
            <w:vAlign w:val="center"/>
          </w:tcPr>
          <w:p w14:paraId="4EAF538D" w14:textId="77777777" w:rsidR="00EC65B9" w:rsidRPr="004A7168" w:rsidRDefault="00EC65B9" w:rsidP="00924275">
            <w:pPr>
              <w:jc w:val="center"/>
              <w:rPr>
                <w:rFonts w:cs="Arial"/>
                <w:color w:val="000000" w:themeColor="text1"/>
                <w:sz w:val="18"/>
                <w:szCs w:val="18"/>
                <w:vertAlign w:val="superscript"/>
              </w:rPr>
            </w:pPr>
            <w:r w:rsidRPr="004A7168">
              <w:rPr>
                <w:rFonts w:cs="Arial"/>
                <w:color w:val="000000" w:themeColor="text1"/>
                <w:sz w:val="18"/>
                <w:szCs w:val="18"/>
              </w:rPr>
              <w:t>1.22±0.06</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372530A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0.704</w:t>
            </w:r>
          </w:p>
        </w:tc>
        <w:tc>
          <w:tcPr>
            <w:tcW w:w="992" w:type="dxa"/>
            <w:shd w:val="clear" w:color="auto" w:fill="EAF1DD" w:themeFill="accent3" w:themeFillTint="33"/>
            <w:vAlign w:val="center"/>
          </w:tcPr>
          <w:p w14:paraId="28C91844"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0.044</w:t>
            </w:r>
          </w:p>
        </w:tc>
        <w:tc>
          <w:tcPr>
            <w:tcW w:w="1022" w:type="dxa"/>
            <w:shd w:val="clear" w:color="auto" w:fill="EAF1DD" w:themeFill="accent3" w:themeFillTint="33"/>
            <w:vAlign w:val="center"/>
          </w:tcPr>
          <w:p w14:paraId="45B4C41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42D47D7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 – control also higher</w:t>
            </w:r>
          </w:p>
        </w:tc>
      </w:tr>
      <w:tr w:rsidR="00EC65B9" w:rsidRPr="00420FFA" w14:paraId="40C52B1A" w14:textId="77777777" w:rsidTr="00924275">
        <w:trPr>
          <w:trHeight w:val="510"/>
          <w:jc w:val="center"/>
        </w:trPr>
        <w:tc>
          <w:tcPr>
            <w:tcW w:w="1361" w:type="dxa"/>
            <w:shd w:val="clear" w:color="auto" w:fill="FFFFFF" w:themeFill="background1"/>
            <w:noWrap/>
            <w:vAlign w:val="center"/>
          </w:tcPr>
          <w:p w14:paraId="0C85349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Proline</w:t>
            </w:r>
            <w:r>
              <w:rPr>
                <w:rFonts w:cs="Arial"/>
                <w:color w:val="000000" w:themeColor="text1"/>
                <w:sz w:val="18"/>
                <w:szCs w:val="18"/>
              </w:rPr>
              <w:t xml:space="preserve"> (% dw)</w:t>
            </w:r>
          </w:p>
        </w:tc>
        <w:tc>
          <w:tcPr>
            <w:tcW w:w="1247" w:type="dxa"/>
            <w:shd w:val="clear" w:color="auto" w:fill="FFFFFF" w:themeFill="background1"/>
            <w:vAlign w:val="center"/>
          </w:tcPr>
          <w:p w14:paraId="6D3EBA00"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1.73±0.21</w:t>
            </w:r>
          </w:p>
        </w:tc>
        <w:tc>
          <w:tcPr>
            <w:tcW w:w="1247" w:type="dxa"/>
            <w:shd w:val="clear" w:color="auto" w:fill="FFFFFF" w:themeFill="background1"/>
            <w:vAlign w:val="center"/>
          </w:tcPr>
          <w:p w14:paraId="1A72809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1.77±0.21</w:t>
            </w:r>
          </w:p>
        </w:tc>
        <w:tc>
          <w:tcPr>
            <w:tcW w:w="1333" w:type="dxa"/>
            <w:shd w:val="clear" w:color="auto" w:fill="FDE9D9" w:themeFill="accent6" w:themeFillTint="33"/>
            <w:vAlign w:val="center"/>
          </w:tcPr>
          <w:p w14:paraId="35BC24F4" w14:textId="77777777" w:rsidR="00EC65B9" w:rsidRPr="004A7168" w:rsidRDefault="00EC65B9" w:rsidP="00924275">
            <w:pPr>
              <w:jc w:val="center"/>
              <w:rPr>
                <w:rFonts w:cs="Arial"/>
                <w:color w:val="000000" w:themeColor="text1"/>
                <w:sz w:val="18"/>
                <w:szCs w:val="18"/>
                <w:vertAlign w:val="superscript"/>
              </w:rPr>
            </w:pPr>
            <w:r w:rsidRPr="004A7168">
              <w:rPr>
                <w:rFonts w:cs="Arial"/>
                <w:color w:val="000000" w:themeColor="text1"/>
                <w:sz w:val="18"/>
                <w:szCs w:val="18"/>
              </w:rPr>
              <w:t>1.83±0.26</w:t>
            </w:r>
            <w:r w:rsidRPr="004A7168">
              <w:rPr>
                <w:rFonts w:cs="Arial"/>
                <w:color w:val="000000" w:themeColor="text1"/>
                <w:sz w:val="18"/>
                <w:szCs w:val="18"/>
                <w:vertAlign w:val="superscript"/>
              </w:rPr>
              <w:t>2</w:t>
            </w:r>
          </w:p>
        </w:tc>
        <w:tc>
          <w:tcPr>
            <w:tcW w:w="851" w:type="dxa"/>
            <w:shd w:val="clear" w:color="auto" w:fill="FFFFFF" w:themeFill="background1"/>
            <w:vAlign w:val="center"/>
          </w:tcPr>
          <w:p w14:paraId="0DE2876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0.362</w:t>
            </w:r>
          </w:p>
        </w:tc>
        <w:tc>
          <w:tcPr>
            <w:tcW w:w="992" w:type="dxa"/>
            <w:shd w:val="clear" w:color="auto" w:fill="FFFFFF" w:themeFill="background1"/>
            <w:vAlign w:val="center"/>
          </w:tcPr>
          <w:p w14:paraId="467116F7"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FFFFFF" w:themeFill="background1"/>
            <w:vAlign w:val="center"/>
          </w:tcPr>
          <w:p w14:paraId="7B8AE36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FFFFFF" w:themeFill="background1"/>
            <w:noWrap/>
            <w:vAlign w:val="center"/>
          </w:tcPr>
          <w:p w14:paraId="1A44142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3F84CA6" w14:textId="77777777" w:rsidTr="00924275">
        <w:trPr>
          <w:trHeight w:val="510"/>
          <w:jc w:val="center"/>
        </w:trPr>
        <w:tc>
          <w:tcPr>
            <w:tcW w:w="1361" w:type="dxa"/>
            <w:shd w:val="clear" w:color="auto" w:fill="EAF1DD" w:themeFill="accent3" w:themeFillTint="33"/>
            <w:noWrap/>
            <w:vAlign w:val="center"/>
          </w:tcPr>
          <w:p w14:paraId="67135A9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Serine</w:t>
            </w:r>
            <w:r>
              <w:rPr>
                <w:rFonts w:cs="Arial"/>
                <w:color w:val="000000" w:themeColor="text1"/>
                <w:sz w:val="18"/>
                <w:szCs w:val="18"/>
              </w:rPr>
              <w:t xml:space="preserve"> (% dw)</w:t>
            </w:r>
          </w:p>
        </w:tc>
        <w:tc>
          <w:tcPr>
            <w:tcW w:w="1247" w:type="dxa"/>
            <w:shd w:val="clear" w:color="auto" w:fill="EAF1DD" w:themeFill="accent3" w:themeFillTint="33"/>
            <w:vAlign w:val="center"/>
          </w:tcPr>
          <w:p w14:paraId="6C880E8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1.22±0.10</w:t>
            </w:r>
          </w:p>
        </w:tc>
        <w:tc>
          <w:tcPr>
            <w:tcW w:w="1247" w:type="dxa"/>
            <w:shd w:val="clear" w:color="auto" w:fill="EAF1DD" w:themeFill="accent3" w:themeFillTint="33"/>
            <w:vAlign w:val="center"/>
          </w:tcPr>
          <w:p w14:paraId="3AA2348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1.23±0.09</w:t>
            </w:r>
          </w:p>
        </w:tc>
        <w:tc>
          <w:tcPr>
            <w:tcW w:w="1333" w:type="dxa"/>
            <w:shd w:val="clear" w:color="auto" w:fill="FDE9D9" w:themeFill="accent6" w:themeFillTint="33"/>
            <w:vAlign w:val="center"/>
          </w:tcPr>
          <w:p w14:paraId="7BC6C116" w14:textId="77777777" w:rsidR="00EC65B9" w:rsidRPr="004A7168" w:rsidRDefault="00EC65B9" w:rsidP="00924275">
            <w:pPr>
              <w:jc w:val="center"/>
              <w:rPr>
                <w:rFonts w:cs="Arial"/>
                <w:color w:val="000000" w:themeColor="text1"/>
                <w:sz w:val="18"/>
                <w:szCs w:val="18"/>
                <w:vertAlign w:val="superscript"/>
              </w:rPr>
            </w:pPr>
            <w:r w:rsidRPr="004A7168">
              <w:rPr>
                <w:rFonts w:cs="Arial"/>
                <w:color w:val="000000" w:themeColor="text1"/>
                <w:sz w:val="18"/>
                <w:szCs w:val="18"/>
              </w:rPr>
              <w:t>1.25±0.06</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12EA6E3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0.685</w:t>
            </w:r>
          </w:p>
        </w:tc>
        <w:tc>
          <w:tcPr>
            <w:tcW w:w="992" w:type="dxa"/>
            <w:shd w:val="clear" w:color="auto" w:fill="EAF1DD" w:themeFill="accent3" w:themeFillTint="33"/>
            <w:vAlign w:val="center"/>
          </w:tcPr>
          <w:p w14:paraId="46930C52"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0.043</w:t>
            </w:r>
          </w:p>
        </w:tc>
        <w:tc>
          <w:tcPr>
            <w:tcW w:w="1022" w:type="dxa"/>
            <w:shd w:val="clear" w:color="auto" w:fill="EAF1DD" w:themeFill="accent3" w:themeFillTint="33"/>
            <w:vAlign w:val="center"/>
          </w:tcPr>
          <w:p w14:paraId="124C858D"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1CAC2AF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65A00B0" w14:textId="77777777" w:rsidTr="00924275">
        <w:trPr>
          <w:trHeight w:val="510"/>
          <w:jc w:val="center"/>
        </w:trPr>
        <w:tc>
          <w:tcPr>
            <w:tcW w:w="1361" w:type="dxa"/>
            <w:shd w:val="clear" w:color="auto" w:fill="auto"/>
            <w:noWrap/>
            <w:vAlign w:val="center"/>
          </w:tcPr>
          <w:p w14:paraId="37A141C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Tryptophan</w:t>
            </w:r>
            <w:r>
              <w:rPr>
                <w:rFonts w:cs="Arial"/>
                <w:color w:val="000000" w:themeColor="text1"/>
                <w:sz w:val="18"/>
                <w:szCs w:val="18"/>
              </w:rPr>
              <w:t xml:space="preserve"> (% dw)</w:t>
            </w:r>
          </w:p>
        </w:tc>
        <w:tc>
          <w:tcPr>
            <w:tcW w:w="1247" w:type="dxa"/>
            <w:shd w:val="clear" w:color="auto" w:fill="auto"/>
            <w:vAlign w:val="center"/>
          </w:tcPr>
          <w:p w14:paraId="4064BE4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0.416±0.033</w:t>
            </w:r>
          </w:p>
        </w:tc>
        <w:tc>
          <w:tcPr>
            <w:tcW w:w="1247" w:type="dxa"/>
            <w:shd w:val="clear" w:color="auto" w:fill="auto"/>
            <w:vAlign w:val="center"/>
          </w:tcPr>
          <w:p w14:paraId="73E4FEA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0.420±0.036</w:t>
            </w:r>
          </w:p>
        </w:tc>
        <w:tc>
          <w:tcPr>
            <w:tcW w:w="1333" w:type="dxa"/>
            <w:shd w:val="clear" w:color="auto" w:fill="FDE9D9" w:themeFill="accent6" w:themeFillTint="33"/>
            <w:vAlign w:val="center"/>
          </w:tcPr>
          <w:p w14:paraId="330A9B2C" w14:textId="77777777" w:rsidR="00EC65B9" w:rsidRPr="004A7168" w:rsidRDefault="00EC65B9" w:rsidP="00924275">
            <w:pPr>
              <w:jc w:val="center"/>
              <w:rPr>
                <w:rFonts w:cs="Arial"/>
                <w:color w:val="000000" w:themeColor="text1"/>
                <w:sz w:val="18"/>
                <w:szCs w:val="18"/>
                <w:vertAlign w:val="superscript"/>
              </w:rPr>
            </w:pPr>
            <w:r w:rsidRPr="004A7168">
              <w:rPr>
                <w:rFonts w:cs="Arial"/>
                <w:color w:val="000000" w:themeColor="text1"/>
                <w:sz w:val="18"/>
                <w:szCs w:val="18"/>
              </w:rPr>
              <w:t>0.428±0.028</w:t>
            </w:r>
            <w:r w:rsidRPr="004A7168">
              <w:rPr>
                <w:rFonts w:cs="Arial"/>
                <w:color w:val="000000" w:themeColor="text1"/>
                <w:sz w:val="18"/>
                <w:szCs w:val="18"/>
                <w:vertAlign w:val="superscript"/>
              </w:rPr>
              <w:t>2</w:t>
            </w:r>
          </w:p>
        </w:tc>
        <w:tc>
          <w:tcPr>
            <w:tcW w:w="851" w:type="dxa"/>
            <w:shd w:val="clear" w:color="auto" w:fill="auto"/>
            <w:vAlign w:val="center"/>
          </w:tcPr>
          <w:p w14:paraId="38EFB18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0.718</w:t>
            </w:r>
          </w:p>
        </w:tc>
        <w:tc>
          <w:tcPr>
            <w:tcW w:w="992" w:type="dxa"/>
            <w:shd w:val="clear" w:color="auto" w:fill="auto"/>
            <w:vAlign w:val="center"/>
          </w:tcPr>
          <w:p w14:paraId="5E7ACAB5"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0.050</w:t>
            </w:r>
          </w:p>
        </w:tc>
        <w:tc>
          <w:tcPr>
            <w:tcW w:w="1022" w:type="dxa"/>
            <w:shd w:val="clear" w:color="auto" w:fill="auto"/>
            <w:vAlign w:val="center"/>
          </w:tcPr>
          <w:p w14:paraId="27BF57D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7299EE5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 – control also higher</w:t>
            </w:r>
          </w:p>
        </w:tc>
      </w:tr>
      <w:tr w:rsidR="00EC65B9" w:rsidRPr="00420FFA" w14:paraId="30FC5C41" w14:textId="77777777" w:rsidTr="00924275">
        <w:trPr>
          <w:trHeight w:val="510"/>
          <w:jc w:val="center"/>
        </w:trPr>
        <w:tc>
          <w:tcPr>
            <w:tcW w:w="1361" w:type="dxa"/>
            <w:shd w:val="clear" w:color="auto" w:fill="EAF1DD" w:themeFill="accent3" w:themeFillTint="33"/>
            <w:noWrap/>
            <w:vAlign w:val="center"/>
          </w:tcPr>
          <w:p w14:paraId="15D91B8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Copper</w:t>
            </w:r>
            <w:r>
              <w:rPr>
                <w:rFonts w:cs="Arial"/>
                <w:color w:val="000000" w:themeColor="text1"/>
                <w:sz w:val="18"/>
                <w:szCs w:val="18"/>
              </w:rPr>
              <w:t xml:space="preserve"> (mg/kg dw)</w:t>
            </w:r>
          </w:p>
        </w:tc>
        <w:tc>
          <w:tcPr>
            <w:tcW w:w="1247" w:type="dxa"/>
            <w:shd w:val="clear" w:color="auto" w:fill="EAF1DD" w:themeFill="accent3" w:themeFillTint="33"/>
            <w:vAlign w:val="center"/>
          </w:tcPr>
          <w:p w14:paraId="45010D3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4.33±0.79</w:t>
            </w:r>
          </w:p>
        </w:tc>
        <w:tc>
          <w:tcPr>
            <w:tcW w:w="1247" w:type="dxa"/>
            <w:shd w:val="clear" w:color="auto" w:fill="EAF1DD" w:themeFill="accent3" w:themeFillTint="33"/>
            <w:vAlign w:val="center"/>
          </w:tcPr>
          <w:p w14:paraId="5464B94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4.29±0.94</w:t>
            </w:r>
          </w:p>
        </w:tc>
        <w:tc>
          <w:tcPr>
            <w:tcW w:w="1333" w:type="dxa"/>
            <w:shd w:val="clear" w:color="auto" w:fill="FDE9D9" w:themeFill="accent6" w:themeFillTint="33"/>
            <w:vAlign w:val="center"/>
          </w:tcPr>
          <w:p w14:paraId="3725429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4.68±0.91</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2B77AA1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0.966</w:t>
            </w:r>
          </w:p>
        </w:tc>
        <w:tc>
          <w:tcPr>
            <w:tcW w:w="992" w:type="dxa"/>
            <w:shd w:val="clear" w:color="auto" w:fill="EAF1DD" w:themeFill="accent3" w:themeFillTint="33"/>
            <w:vAlign w:val="center"/>
          </w:tcPr>
          <w:p w14:paraId="28C50009"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289F1E4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B596EC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2D4FA1FF" w14:textId="77777777" w:rsidTr="00924275">
        <w:trPr>
          <w:trHeight w:val="510"/>
          <w:jc w:val="center"/>
        </w:trPr>
        <w:tc>
          <w:tcPr>
            <w:tcW w:w="1361" w:type="dxa"/>
            <w:shd w:val="clear" w:color="auto" w:fill="auto"/>
            <w:noWrap/>
            <w:vAlign w:val="center"/>
          </w:tcPr>
          <w:p w14:paraId="5C6C02D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Magnesium</w:t>
            </w:r>
            <w:r>
              <w:rPr>
                <w:rFonts w:cs="Arial"/>
                <w:color w:val="000000" w:themeColor="text1"/>
                <w:sz w:val="18"/>
                <w:szCs w:val="18"/>
              </w:rPr>
              <w:t xml:space="preserve"> (mg/kg dw)</w:t>
            </w:r>
          </w:p>
        </w:tc>
        <w:tc>
          <w:tcPr>
            <w:tcW w:w="1247" w:type="dxa"/>
            <w:shd w:val="clear" w:color="auto" w:fill="auto"/>
            <w:vAlign w:val="center"/>
          </w:tcPr>
          <w:p w14:paraId="36B64BD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3659±438</w:t>
            </w:r>
          </w:p>
        </w:tc>
        <w:tc>
          <w:tcPr>
            <w:tcW w:w="1247" w:type="dxa"/>
            <w:shd w:val="clear" w:color="auto" w:fill="auto"/>
            <w:vAlign w:val="center"/>
          </w:tcPr>
          <w:p w14:paraId="0A8897D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3654±413</w:t>
            </w:r>
          </w:p>
        </w:tc>
        <w:tc>
          <w:tcPr>
            <w:tcW w:w="1333" w:type="dxa"/>
            <w:shd w:val="clear" w:color="auto" w:fill="FDE9D9" w:themeFill="accent6" w:themeFillTint="33"/>
            <w:vAlign w:val="center"/>
          </w:tcPr>
          <w:p w14:paraId="35356B3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3938±560</w:t>
            </w:r>
            <w:r w:rsidRPr="004A7168">
              <w:rPr>
                <w:rFonts w:cs="Arial"/>
                <w:color w:val="000000" w:themeColor="text1"/>
                <w:sz w:val="18"/>
                <w:szCs w:val="18"/>
                <w:vertAlign w:val="superscript"/>
              </w:rPr>
              <w:t>2</w:t>
            </w:r>
          </w:p>
        </w:tc>
        <w:tc>
          <w:tcPr>
            <w:tcW w:w="851" w:type="dxa"/>
            <w:shd w:val="clear" w:color="auto" w:fill="auto"/>
            <w:vAlign w:val="center"/>
          </w:tcPr>
          <w:p w14:paraId="5D60117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0.126</w:t>
            </w:r>
          </w:p>
        </w:tc>
        <w:tc>
          <w:tcPr>
            <w:tcW w:w="992" w:type="dxa"/>
            <w:shd w:val="clear" w:color="auto" w:fill="auto"/>
            <w:vAlign w:val="center"/>
          </w:tcPr>
          <w:p w14:paraId="498A4025"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auto"/>
            <w:vAlign w:val="center"/>
          </w:tcPr>
          <w:p w14:paraId="57CB9D5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395FDA8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300A6D6D" w14:textId="77777777" w:rsidTr="00924275">
        <w:trPr>
          <w:trHeight w:val="510"/>
          <w:jc w:val="center"/>
        </w:trPr>
        <w:tc>
          <w:tcPr>
            <w:tcW w:w="1361" w:type="dxa"/>
            <w:shd w:val="clear" w:color="auto" w:fill="EAF1DD" w:themeFill="accent3" w:themeFillTint="33"/>
            <w:noWrap/>
            <w:vAlign w:val="center"/>
          </w:tcPr>
          <w:p w14:paraId="6306808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Phosphorus</w:t>
            </w:r>
            <w:r>
              <w:rPr>
                <w:rFonts w:cs="Arial"/>
                <w:color w:val="000000" w:themeColor="text1"/>
                <w:sz w:val="18"/>
                <w:szCs w:val="18"/>
              </w:rPr>
              <w:t xml:space="preserve"> (mg/kg dw)</w:t>
            </w:r>
          </w:p>
        </w:tc>
        <w:tc>
          <w:tcPr>
            <w:tcW w:w="1247" w:type="dxa"/>
            <w:shd w:val="clear" w:color="auto" w:fill="EAF1DD" w:themeFill="accent3" w:themeFillTint="33"/>
            <w:vAlign w:val="center"/>
          </w:tcPr>
          <w:p w14:paraId="0B7D095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7947±1450</w:t>
            </w:r>
          </w:p>
        </w:tc>
        <w:tc>
          <w:tcPr>
            <w:tcW w:w="1247" w:type="dxa"/>
            <w:shd w:val="clear" w:color="auto" w:fill="EAF1DD" w:themeFill="accent3" w:themeFillTint="33"/>
            <w:vAlign w:val="center"/>
          </w:tcPr>
          <w:p w14:paraId="56DD249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8219±1540</w:t>
            </w:r>
          </w:p>
        </w:tc>
        <w:tc>
          <w:tcPr>
            <w:tcW w:w="1333" w:type="dxa"/>
            <w:shd w:val="clear" w:color="auto" w:fill="FDE9D9" w:themeFill="accent6" w:themeFillTint="33"/>
            <w:vAlign w:val="center"/>
          </w:tcPr>
          <w:p w14:paraId="7CD11BE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8674±1253</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7D285A7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0.450</w:t>
            </w:r>
          </w:p>
        </w:tc>
        <w:tc>
          <w:tcPr>
            <w:tcW w:w="992" w:type="dxa"/>
            <w:shd w:val="clear" w:color="auto" w:fill="EAF1DD" w:themeFill="accent3" w:themeFillTint="33"/>
            <w:vAlign w:val="center"/>
          </w:tcPr>
          <w:p w14:paraId="1023504A"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0.003</w:t>
            </w:r>
          </w:p>
        </w:tc>
        <w:tc>
          <w:tcPr>
            <w:tcW w:w="1022" w:type="dxa"/>
            <w:shd w:val="clear" w:color="auto" w:fill="EAF1DD" w:themeFill="accent3" w:themeFillTint="33"/>
            <w:vAlign w:val="center"/>
          </w:tcPr>
          <w:p w14:paraId="35CBDE41"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691A465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755C416D" w14:textId="77777777" w:rsidTr="00924275">
        <w:trPr>
          <w:trHeight w:val="510"/>
          <w:jc w:val="center"/>
        </w:trPr>
        <w:tc>
          <w:tcPr>
            <w:tcW w:w="1361" w:type="dxa"/>
            <w:shd w:val="clear" w:color="auto" w:fill="auto"/>
            <w:noWrap/>
            <w:vAlign w:val="center"/>
          </w:tcPr>
          <w:p w14:paraId="1B14A9F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Potassium</w:t>
            </w:r>
            <w:r>
              <w:rPr>
                <w:rFonts w:cs="Arial"/>
                <w:color w:val="000000" w:themeColor="text1"/>
                <w:sz w:val="18"/>
                <w:szCs w:val="18"/>
              </w:rPr>
              <w:t xml:space="preserve"> (mg/kg dw)</w:t>
            </w:r>
          </w:p>
        </w:tc>
        <w:tc>
          <w:tcPr>
            <w:tcW w:w="1247" w:type="dxa"/>
            <w:shd w:val="clear" w:color="auto" w:fill="auto"/>
            <w:vAlign w:val="center"/>
          </w:tcPr>
          <w:p w14:paraId="02C85700"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8577±1374</w:t>
            </w:r>
          </w:p>
        </w:tc>
        <w:tc>
          <w:tcPr>
            <w:tcW w:w="1247" w:type="dxa"/>
            <w:shd w:val="clear" w:color="auto" w:fill="auto"/>
            <w:vAlign w:val="center"/>
          </w:tcPr>
          <w:p w14:paraId="5ABE434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8865±1424</w:t>
            </w:r>
          </w:p>
        </w:tc>
        <w:tc>
          <w:tcPr>
            <w:tcW w:w="1333" w:type="dxa"/>
            <w:shd w:val="clear" w:color="auto" w:fill="FDE9D9" w:themeFill="accent6" w:themeFillTint="33"/>
            <w:vAlign w:val="center"/>
          </w:tcPr>
          <w:p w14:paraId="5029234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9516±1667</w:t>
            </w:r>
            <w:r w:rsidRPr="004A7168">
              <w:rPr>
                <w:rFonts w:cs="Arial"/>
                <w:color w:val="000000" w:themeColor="text1"/>
                <w:sz w:val="18"/>
                <w:szCs w:val="18"/>
                <w:vertAlign w:val="superscript"/>
              </w:rPr>
              <w:t>2</w:t>
            </w:r>
          </w:p>
        </w:tc>
        <w:tc>
          <w:tcPr>
            <w:tcW w:w="851" w:type="dxa"/>
            <w:shd w:val="clear" w:color="auto" w:fill="auto"/>
            <w:vAlign w:val="center"/>
          </w:tcPr>
          <w:p w14:paraId="553AB1F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0.144</w:t>
            </w:r>
          </w:p>
        </w:tc>
        <w:tc>
          <w:tcPr>
            <w:tcW w:w="992" w:type="dxa"/>
            <w:shd w:val="clear" w:color="auto" w:fill="auto"/>
            <w:vAlign w:val="center"/>
          </w:tcPr>
          <w:p w14:paraId="47C9DE11"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auto"/>
            <w:vAlign w:val="center"/>
          </w:tcPr>
          <w:p w14:paraId="265918C1"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4317712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449C35DD" w14:textId="77777777" w:rsidTr="00924275">
        <w:trPr>
          <w:trHeight w:val="510"/>
          <w:jc w:val="center"/>
        </w:trPr>
        <w:tc>
          <w:tcPr>
            <w:tcW w:w="1361" w:type="dxa"/>
            <w:shd w:val="clear" w:color="auto" w:fill="EAF1DD" w:themeFill="accent3" w:themeFillTint="33"/>
            <w:noWrap/>
            <w:vAlign w:val="center"/>
          </w:tcPr>
          <w:p w14:paraId="6F46DA2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Zinc</w:t>
            </w:r>
            <w:r>
              <w:rPr>
                <w:rFonts w:cs="Arial"/>
                <w:color w:val="000000" w:themeColor="text1"/>
                <w:sz w:val="18"/>
                <w:szCs w:val="18"/>
              </w:rPr>
              <w:t xml:space="preserve"> (mg/kg dw)</w:t>
            </w:r>
          </w:p>
        </w:tc>
        <w:tc>
          <w:tcPr>
            <w:tcW w:w="1247" w:type="dxa"/>
            <w:shd w:val="clear" w:color="auto" w:fill="EAF1DD" w:themeFill="accent3" w:themeFillTint="33"/>
            <w:vAlign w:val="center"/>
          </w:tcPr>
          <w:p w14:paraId="0C2BBED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48.4±8.8</w:t>
            </w:r>
          </w:p>
        </w:tc>
        <w:tc>
          <w:tcPr>
            <w:tcW w:w="1247" w:type="dxa"/>
            <w:shd w:val="clear" w:color="auto" w:fill="EAF1DD" w:themeFill="accent3" w:themeFillTint="33"/>
            <w:vAlign w:val="center"/>
          </w:tcPr>
          <w:p w14:paraId="0545329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50.2±9.6</w:t>
            </w:r>
          </w:p>
        </w:tc>
        <w:tc>
          <w:tcPr>
            <w:tcW w:w="1333" w:type="dxa"/>
            <w:shd w:val="clear" w:color="auto" w:fill="FDE9D9" w:themeFill="accent6" w:themeFillTint="33"/>
            <w:vAlign w:val="center"/>
          </w:tcPr>
          <w:p w14:paraId="4AB3C28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54.1±9.3</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6D3B44F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0.211</w:t>
            </w:r>
          </w:p>
        </w:tc>
        <w:tc>
          <w:tcPr>
            <w:tcW w:w="992" w:type="dxa"/>
            <w:shd w:val="clear" w:color="auto" w:fill="EAF1DD" w:themeFill="accent3" w:themeFillTint="33"/>
            <w:vAlign w:val="center"/>
          </w:tcPr>
          <w:p w14:paraId="15D14B84"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EAF1DD" w:themeFill="accent3" w:themeFillTint="33"/>
            <w:vAlign w:val="center"/>
          </w:tcPr>
          <w:p w14:paraId="194AB8A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6299E2B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472D6FA2" w14:textId="77777777" w:rsidTr="00924275">
        <w:trPr>
          <w:trHeight w:val="510"/>
          <w:jc w:val="center"/>
        </w:trPr>
        <w:tc>
          <w:tcPr>
            <w:tcW w:w="1361" w:type="dxa"/>
            <w:shd w:val="clear" w:color="auto" w:fill="auto"/>
            <w:noWrap/>
            <w:vAlign w:val="center"/>
          </w:tcPr>
          <w:p w14:paraId="37CB4AE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γ-tocopherol</w:t>
            </w:r>
            <w:r>
              <w:rPr>
                <w:rFonts w:cs="Arial"/>
                <w:color w:val="000000" w:themeColor="text1"/>
                <w:sz w:val="18"/>
                <w:szCs w:val="18"/>
              </w:rPr>
              <w:t xml:space="preserve"> (mg/kg dw)</w:t>
            </w:r>
          </w:p>
        </w:tc>
        <w:tc>
          <w:tcPr>
            <w:tcW w:w="1247" w:type="dxa"/>
            <w:shd w:val="clear" w:color="auto" w:fill="auto"/>
            <w:vAlign w:val="center"/>
          </w:tcPr>
          <w:p w14:paraId="0D0493A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171±29</w:t>
            </w:r>
          </w:p>
        </w:tc>
        <w:tc>
          <w:tcPr>
            <w:tcW w:w="1247" w:type="dxa"/>
            <w:shd w:val="clear" w:color="auto" w:fill="auto"/>
            <w:vAlign w:val="center"/>
          </w:tcPr>
          <w:p w14:paraId="03A10F17"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165±24</w:t>
            </w:r>
          </w:p>
        </w:tc>
        <w:tc>
          <w:tcPr>
            <w:tcW w:w="1333" w:type="dxa"/>
            <w:shd w:val="clear" w:color="auto" w:fill="E5DFEC" w:themeFill="accent4" w:themeFillTint="33"/>
            <w:vAlign w:val="center"/>
          </w:tcPr>
          <w:p w14:paraId="54CC994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153±29</w:t>
            </w:r>
            <w:r w:rsidRPr="004A7168">
              <w:rPr>
                <w:rFonts w:cs="Arial"/>
                <w:color w:val="000000" w:themeColor="text1"/>
                <w:sz w:val="18"/>
                <w:szCs w:val="18"/>
                <w:vertAlign w:val="superscript"/>
              </w:rPr>
              <w:t>2</w:t>
            </w:r>
          </w:p>
        </w:tc>
        <w:tc>
          <w:tcPr>
            <w:tcW w:w="851" w:type="dxa"/>
            <w:shd w:val="clear" w:color="auto" w:fill="auto"/>
            <w:vAlign w:val="center"/>
          </w:tcPr>
          <w:p w14:paraId="4821344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0.316</w:t>
            </w:r>
          </w:p>
        </w:tc>
        <w:tc>
          <w:tcPr>
            <w:tcW w:w="992" w:type="dxa"/>
            <w:shd w:val="clear" w:color="auto" w:fill="auto"/>
            <w:vAlign w:val="center"/>
          </w:tcPr>
          <w:p w14:paraId="3CDF4875"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0.028</w:t>
            </w:r>
          </w:p>
        </w:tc>
        <w:tc>
          <w:tcPr>
            <w:tcW w:w="1022" w:type="dxa"/>
            <w:shd w:val="clear" w:color="auto" w:fill="auto"/>
            <w:vAlign w:val="center"/>
          </w:tcPr>
          <w:p w14:paraId="5CEB80F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51BFD3C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Not available</w:t>
            </w:r>
          </w:p>
        </w:tc>
      </w:tr>
      <w:tr w:rsidR="00EC65B9" w:rsidRPr="00420FFA" w14:paraId="1927C549" w14:textId="77777777" w:rsidTr="00924275">
        <w:trPr>
          <w:trHeight w:val="510"/>
          <w:jc w:val="center"/>
        </w:trPr>
        <w:tc>
          <w:tcPr>
            <w:tcW w:w="1361" w:type="dxa"/>
            <w:shd w:val="clear" w:color="auto" w:fill="EAF1DD" w:themeFill="accent3" w:themeFillTint="33"/>
            <w:noWrap/>
            <w:vAlign w:val="center"/>
          </w:tcPr>
          <w:p w14:paraId="352085F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Vitamin K</w:t>
            </w:r>
            <w:r>
              <w:rPr>
                <w:rFonts w:cs="Arial"/>
                <w:color w:val="000000" w:themeColor="text1"/>
                <w:sz w:val="18"/>
                <w:szCs w:val="18"/>
              </w:rPr>
              <w:t xml:space="preserve"> (mg/kg dw)</w:t>
            </w:r>
          </w:p>
        </w:tc>
        <w:tc>
          <w:tcPr>
            <w:tcW w:w="1247" w:type="dxa"/>
            <w:shd w:val="clear" w:color="auto" w:fill="EAF1DD" w:themeFill="accent3" w:themeFillTint="33"/>
            <w:vAlign w:val="center"/>
          </w:tcPr>
          <w:p w14:paraId="3BC07F6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1.297±0.410</w:t>
            </w:r>
          </w:p>
        </w:tc>
        <w:tc>
          <w:tcPr>
            <w:tcW w:w="1247" w:type="dxa"/>
            <w:shd w:val="clear" w:color="auto" w:fill="EAF1DD" w:themeFill="accent3" w:themeFillTint="33"/>
            <w:vAlign w:val="center"/>
          </w:tcPr>
          <w:p w14:paraId="62E4FD2B"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1.286±0.359</w:t>
            </w:r>
          </w:p>
        </w:tc>
        <w:tc>
          <w:tcPr>
            <w:tcW w:w="1333" w:type="dxa"/>
            <w:shd w:val="clear" w:color="auto" w:fill="FDE9D9" w:themeFill="accent6" w:themeFillTint="33"/>
            <w:vAlign w:val="center"/>
          </w:tcPr>
          <w:p w14:paraId="05D1378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1.702±0.604</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464C3F3D"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0.891</w:t>
            </w:r>
          </w:p>
        </w:tc>
        <w:tc>
          <w:tcPr>
            <w:tcW w:w="992" w:type="dxa"/>
            <w:shd w:val="clear" w:color="auto" w:fill="EAF1DD" w:themeFill="accent3" w:themeFillTint="33"/>
            <w:vAlign w:val="center"/>
          </w:tcPr>
          <w:p w14:paraId="7622D109"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0.002</w:t>
            </w:r>
          </w:p>
        </w:tc>
        <w:tc>
          <w:tcPr>
            <w:tcW w:w="1022" w:type="dxa"/>
            <w:shd w:val="clear" w:color="auto" w:fill="EAF1DD" w:themeFill="accent3" w:themeFillTint="33"/>
            <w:vAlign w:val="center"/>
          </w:tcPr>
          <w:p w14:paraId="30BA4A3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5BE1B3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Not available</w:t>
            </w:r>
          </w:p>
        </w:tc>
      </w:tr>
      <w:tr w:rsidR="00EC65B9" w:rsidRPr="00420FFA" w14:paraId="562DD9F7" w14:textId="77777777" w:rsidTr="00924275">
        <w:trPr>
          <w:trHeight w:val="510"/>
          <w:jc w:val="center"/>
        </w:trPr>
        <w:tc>
          <w:tcPr>
            <w:tcW w:w="1361" w:type="dxa"/>
            <w:shd w:val="clear" w:color="auto" w:fill="auto"/>
            <w:noWrap/>
            <w:vAlign w:val="center"/>
          </w:tcPr>
          <w:p w14:paraId="25C837F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Gluconapin</w:t>
            </w:r>
          </w:p>
          <w:p w14:paraId="0D18E72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(μmol/g dw)</w:t>
            </w:r>
          </w:p>
        </w:tc>
        <w:tc>
          <w:tcPr>
            <w:tcW w:w="1247" w:type="dxa"/>
            <w:shd w:val="clear" w:color="auto" w:fill="auto"/>
            <w:vAlign w:val="center"/>
          </w:tcPr>
          <w:p w14:paraId="0F67F7B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2.09±0.85</w:t>
            </w:r>
          </w:p>
        </w:tc>
        <w:tc>
          <w:tcPr>
            <w:tcW w:w="1247" w:type="dxa"/>
            <w:shd w:val="clear" w:color="auto" w:fill="FDE9D9" w:themeFill="accent6" w:themeFillTint="33"/>
            <w:vAlign w:val="center"/>
          </w:tcPr>
          <w:p w14:paraId="229704B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2.69±1.11</w:t>
            </w:r>
          </w:p>
        </w:tc>
        <w:tc>
          <w:tcPr>
            <w:tcW w:w="1333" w:type="dxa"/>
            <w:shd w:val="clear" w:color="auto" w:fill="FDE9D9" w:themeFill="accent6" w:themeFillTint="33"/>
            <w:vAlign w:val="center"/>
          </w:tcPr>
          <w:p w14:paraId="169BD2A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2.99±1.16</w:t>
            </w:r>
            <w:r w:rsidRPr="004A7168">
              <w:rPr>
                <w:rFonts w:cs="Arial"/>
                <w:color w:val="000000" w:themeColor="text1"/>
                <w:sz w:val="18"/>
                <w:szCs w:val="18"/>
                <w:vertAlign w:val="superscript"/>
              </w:rPr>
              <w:t>2</w:t>
            </w:r>
          </w:p>
        </w:tc>
        <w:tc>
          <w:tcPr>
            <w:tcW w:w="851" w:type="dxa"/>
            <w:shd w:val="clear" w:color="auto" w:fill="auto"/>
            <w:vAlign w:val="center"/>
          </w:tcPr>
          <w:p w14:paraId="72ECBD55" w14:textId="77777777" w:rsidR="00EC65B9" w:rsidRPr="004A7168" w:rsidRDefault="00EC65B9" w:rsidP="00924275">
            <w:pPr>
              <w:jc w:val="center"/>
              <w:rPr>
                <w:rFonts w:cs="Arial"/>
                <w:color w:val="000000" w:themeColor="text1"/>
                <w:sz w:val="18"/>
                <w:szCs w:val="18"/>
              </w:rPr>
            </w:pPr>
            <w:r w:rsidRPr="004A7168">
              <w:rPr>
                <w:rFonts w:cs="Arial"/>
                <w:b/>
                <w:color w:val="000000" w:themeColor="text1"/>
                <w:sz w:val="18"/>
                <w:szCs w:val="18"/>
                <w:u w:val="single"/>
              </w:rPr>
              <w:t>0.013</w:t>
            </w:r>
          </w:p>
        </w:tc>
        <w:tc>
          <w:tcPr>
            <w:tcW w:w="992" w:type="dxa"/>
            <w:shd w:val="clear" w:color="auto" w:fill="auto"/>
            <w:vAlign w:val="center"/>
          </w:tcPr>
          <w:p w14:paraId="7F286B53"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auto"/>
            <w:vAlign w:val="center"/>
          </w:tcPr>
          <w:p w14:paraId="4CAA3C5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39D908A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Not available</w:t>
            </w:r>
          </w:p>
        </w:tc>
      </w:tr>
      <w:tr w:rsidR="00EC65B9" w:rsidRPr="00420FFA" w14:paraId="5D9CD7E6" w14:textId="77777777" w:rsidTr="00924275">
        <w:trPr>
          <w:trHeight w:val="510"/>
          <w:jc w:val="center"/>
        </w:trPr>
        <w:tc>
          <w:tcPr>
            <w:tcW w:w="1361" w:type="dxa"/>
            <w:shd w:val="clear" w:color="auto" w:fill="EAF1DD" w:themeFill="accent3" w:themeFillTint="33"/>
            <w:noWrap/>
            <w:vAlign w:val="center"/>
          </w:tcPr>
          <w:p w14:paraId="380FB6C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Progoitrin</w:t>
            </w:r>
          </w:p>
          <w:p w14:paraId="4DE3557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(μmol/g dw)</w:t>
            </w:r>
          </w:p>
        </w:tc>
        <w:tc>
          <w:tcPr>
            <w:tcW w:w="1247" w:type="dxa"/>
            <w:shd w:val="clear" w:color="auto" w:fill="EAF1DD" w:themeFill="accent3" w:themeFillTint="33"/>
            <w:vAlign w:val="center"/>
          </w:tcPr>
          <w:p w14:paraId="2552B563"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5.48±2.75</w:t>
            </w:r>
          </w:p>
        </w:tc>
        <w:tc>
          <w:tcPr>
            <w:tcW w:w="1247" w:type="dxa"/>
            <w:shd w:val="clear" w:color="auto" w:fill="EAF1DD" w:themeFill="accent3" w:themeFillTint="33"/>
            <w:vAlign w:val="center"/>
          </w:tcPr>
          <w:p w14:paraId="710553C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5.88±2.86</w:t>
            </w:r>
          </w:p>
        </w:tc>
        <w:tc>
          <w:tcPr>
            <w:tcW w:w="1333" w:type="dxa"/>
            <w:shd w:val="clear" w:color="auto" w:fill="FDE9D9" w:themeFill="accent6" w:themeFillTint="33"/>
            <w:vAlign w:val="center"/>
          </w:tcPr>
          <w:p w14:paraId="746CF28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7.38±3.51</w:t>
            </w:r>
            <w:r w:rsidRPr="004A7168">
              <w:rPr>
                <w:rFonts w:cs="Arial"/>
                <w:color w:val="000000" w:themeColor="text1"/>
                <w:sz w:val="18"/>
                <w:szCs w:val="18"/>
                <w:vertAlign w:val="superscript"/>
              </w:rPr>
              <w:t>2</w:t>
            </w:r>
          </w:p>
        </w:tc>
        <w:tc>
          <w:tcPr>
            <w:tcW w:w="851" w:type="dxa"/>
            <w:shd w:val="clear" w:color="auto" w:fill="EAF1DD" w:themeFill="accent3" w:themeFillTint="33"/>
            <w:vAlign w:val="center"/>
          </w:tcPr>
          <w:p w14:paraId="12A2210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0.601</w:t>
            </w:r>
          </w:p>
        </w:tc>
        <w:tc>
          <w:tcPr>
            <w:tcW w:w="992" w:type="dxa"/>
            <w:shd w:val="clear" w:color="auto" w:fill="EAF1DD" w:themeFill="accent3" w:themeFillTint="33"/>
            <w:vAlign w:val="center"/>
          </w:tcPr>
          <w:p w14:paraId="70D90119"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0.001</w:t>
            </w:r>
          </w:p>
        </w:tc>
        <w:tc>
          <w:tcPr>
            <w:tcW w:w="1022" w:type="dxa"/>
            <w:shd w:val="clear" w:color="auto" w:fill="EAF1DD" w:themeFill="accent3" w:themeFillTint="33"/>
            <w:vAlign w:val="center"/>
          </w:tcPr>
          <w:p w14:paraId="500BFED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773C412A"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Not available</w:t>
            </w:r>
          </w:p>
        </w:tc>
      </w:tr>
      <w:tr w:rsidR="00EC65B9" w:rsidRPr="00420FFA" w14:paraId="031A67D5" w14:textId="77777777" w:rsidTr="00924275">
        <w:trPr>
          <w:trHeight w:val="510"/>
          <w:jc w:val="center"/>
        </w:trPr>
        <w:tc>
          <w:tcPr>
            <w:tcW w:w="1361" w:type="dxa"/>
            <w:shd w:val="clear" w:color="auto" w:fill="auto"/>
            <w:noWrap/>
            <w:vAlign w:val="center"/>
          </w:tcPr>
          <w:p w14:paraId="65138545"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Total glucosinolates</w:t>
            </w:r>
          </w:p>
          <w:p w14:paraId="38EC856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lastRenderedPageBreak/>
              <w:t>(μmol/g dw)</w:t>
            </w:r>
          </w:p>
        </w:tc>
        <w:tc>
          <w:tcPr>
            <w:tcW w:w="1247" w:type="dxa"/>
            <w:shd w:val="clear" w:color="auto" w:fill="auto"/>
            <w:vAlign w:val="center"/>
          </w:tcPr>
          <w:p w14:paraId="64C78CDF"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lastRenderedPageBreak/>
              <w:t>12.3±4.1</w:t>
            </w:r>
          </w:p>
        </w:tc>
        <w:tc>
          <w:tcPr>
            <w:tcW w:w="1247" w:type="dxa"/>
            <w:shd w:val="clear" w:color="auto" w:fill="auto"/>
            <w:vAlign w:val="center"/>
          </w:tcPr>
          <w:p w14:paraId="567444E4"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13.7±4.2</w:t>
            </w:r>
          </w:p>
        </w:tc>
        <w:tc>
          <w:tcPr>
            <w:tcW w:w="1333" w:type="dxa"/>
            <w:shd w:val="clear" w:color="auto" w:fill="FDE9D9" w:themeFill="accent6" w:themeFillTint="33"/>
            <w:vAlign w:val="center"/>
          </w:tcPr>
          <w:p w14:paraId="4583BEA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15.8±4.8</w:t>
            </w:r>
            <w:r w:rsidRPr="004A7168">
              <w:rPr>
                <w:rFonts w:cs="Arial"/>
                <w:color w:val="000000" w:themeColor="text1"/>
                <w:sz w:val="18"/>
                <w:szCs w:val="18"/>
                <w:vertAlign w:val="superscript"/>
              </w:rPr>
              <w:t>2</w:t>
            </w:r>
          </w:p>
        </w:tc>
        <w:tc>
          <w:tcPr>
            <w:tcW w:w="851" w:type="dxa"/>
            <w:shd w:val="clear" w:color="auto" w:fill="auto"/>
            <w:vAlign w:val="center"/>
          </w:tcPr>
          <w:p w14:paraId="6A363F7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0.179</w:t>
            </w:r>
          </w:p>
        </w:tc>
        <w:tc>
          <w:tcPr>
            <w:tcW w:w="992" w:type="dxa"/>
            <w:shd w:val="clear" w:color="auto" w:fill="auto"/>
            <w:vAlign w:val="center"/>
          </w:tcPr>
          <w:p w14:paraId="3E2CE164" w14:textId="77777777" w:rsidR="00EC65B9" w:rsidRPr="004A7168" w:rsidRDefault="00EC65B9" w:rsidP="00924275">
            <w:pPr>
              <w:jc w:val="center"/>
              <w:rPr>
                <w:rFonts w:cs="Arial"/>
                <w:b/>
                <w:color w:val="000000" w:themeColor="text1"/>
                <w:sz w:val="18"/>
                <w:szCs w:val="18"/>
                <w:u w:val="single"/>
              </w:rPr>
            </w:pPr>
            <w:r w:rsidRPr="004A7168">
              <w:rPr>
                <w:rFonts w:cs="Arial"/>
                <w:b/>
                <w:color w:val="000000" w:themeColor="text1"/>
                <w:sz w:val="18"/>
                <w:szCs w:val="18"/>
                <w:u w:val="single"/>
              </w:rPr>
              <w:t>&lt;0.001</w:t>
            </w:r>
          </w:p>
        </w:tc>
        <w:tc>
          <w:tcPr>
            <w:tcW w:w="1022" w:type="dxa"/>
            <w:shd w:val="clear" w:color="auto" w:fill="auto"/>
            <w:vAlign w:val="center"/>
          </w:tcPr>
          <w:p w14:paraId="5ACF7F29"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auto"/>
            <w:noWrap/>
            <w:vAlign w:val="center"/>
          </w:tcPr>
          <w:p w14:paraId="654E2CD2"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r>
      <w:tr w:rsidR="00EC65B9" w:rsidRPr="00420FFA" w14:paraId="1EC749E0" w14:textId="77777777" w:rsidTr="00924275">
        <w:trPr>
          <w:trHeight w:val="510"/>
          <w:jc w:val="center"/>
        </w:trPr>
        <w:tc>
          <w:tcPr>
            <w:tcW w:w="1361" w:type="dxa"/>
            <w:shd w:val="clear" w:color="auto" w:fill="EAF1DD" w:themeFill="accent3" w:themeFillTint="33"/>
            <w:noWrap/>
            <w:vAlign w:val="center"/>
          </w:tcPr>
          <w:p w14:paraId="270E0D4E"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Insoluble tannins</w:t>
            </w:r>
          </w:p>
          <w:p w14:paraId="61212248"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(%dw)</w:t>
            </w:r>
          </w:p>
        </w:tc>
        <w:tc>
          <w:tcPr>
            <w:tcW w:w="1247" w:type="dxa"/>
            <w:shd w:val="clear" w:color="auto" w:fill="EAF1DD" w:themeFill="accent3" w:themeFillTint="33"/>
            <w:vAlign w:val="center"/>
          </w:tcPr>
          <w:p w14:paraId="4F2D16CC"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0.403±0.095</w:t>
            </w:r>
          </w:p>
        </w:tc>
        <w:tc>
          <w:tcPr>
            <w:tcW w:w="1247" w:type="dxa"/>
            <w:shd w:val="clear" w:color="auto" w:fill="FDE9D9" w:themeFill="accent6" w:themeFillTint="33"/>
            <w:vAlign w:val="center"/>
          </w:tcPr>
          <w:p w14:paraId="0FD06681"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0.455±0.110</w:t>
            </w:r>
          </w:p>
        </w:tc>
        <w:tc>
          <w:tcPr>
            <w:tcW w:w="1333" w:type="dxa"/>
            <w:shd w:val="clear" w:color="auto" w:fill="EAF1DD" w:themeFill="accent3" w:themeFillTint="33"/>
            <w:vAlign w:val="center"/>
          </w:tcPr>
          <w:p w14:paraId="48F926E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0.458±0.125</w:t>
            </w:r>
          </w:p>
        </w:tc>
        <w:tc>
          <w:tcPr>
            <w:tcW w:w="851" w:type="dxa"/>
            <w:shd w:val="clear" w:color="auto" w:fill="EAF1DD" w:themeFill="accent3" w:themeFillTint="33"/>
            <w:vAlign w:val="center"/>
          </w:tcPr>
          <w:p w14:paraId="19561CB3" w14:textId="77777777" w:rsidR="00EC65B9" w:rsidRPr="004A7168" w:rsidRDefault="00EC65B9" w:rsidP="00924275">
            <w:pPr>
              <w:jc w:val="center"/>
              <w:rPr>
                <w:rFonts w:cs="Arial"/>
                <w:color w:val="000000" w:themeColor="text1"/>
                <w:sz w:val="18"/>
                <w:szCs w:val="18"/>
              </w:rPr>
            </w:pPr>
            <w:r w:rsidRPr="004A7168">
              <w:rPr>
                <w:rFonts w:cs="Arial"/>
                <w:b/>
                <w:color w:val="000000" w:themeColor="text1"/>
                <w:sz w:val="18"/>
                <w:szCs w:val="18"/>
                <w:u w:val="single"/>
              </w:rPr>
              <w:t>0.027</w:t>
            </w:r>
          </w:p>
        </w:tc>
        <w:tc>
          <w:tcPr>
            <w:tcW w:w="992" w:type="dxa"/>
            <w:shd w:val="clear" w:color="auto" w:fill="EAF1DD" w:themeFill="accent3" w:themeFillTint="33"/>
            <w:vAlign w:val="center"/>
          </w:tcPr>
          <w:p w14:paraId="1797BC06" w14:textId="77777777" w:rsidR="00EC65B9" w:rsidRPr="004A7168" w:rsidRDefault="00EC65B9" w:rsidP="00924275">
            <w:pPr>
              <w:jc w:val="center"/>
              <w:rPr>
                <w:rFonts w:cs="Arial"/>
                <w:b/>
                <w:color w:val="000000" w:themeColor="text1"/>
                <w:sz w:val="18"/>
                <w:szCs w:val="18"/>
                <w:u w:val="single"/>
              </w:rPr>
            </w:pPr>
            <w:r w:rsidRPr="004A7168">
              <w:rPr>
                <w:rFonts w:cs="Arial"/>
                <w:color w:val="000000" w:themeColor="text1"/>
                <w:sz w:val="18"/>
                <w:szCs w:val="18"/>
              </w:rPr>
              <w:t>0.109</w:t>
            </w:r>
          </w:p>
        </w:tc>
        <w:tc>
          <w:tcPr>
            <w:tcW w:w="1022" w:type="dxa"/>
            <w:shd w:val="clear" w:color="auto" w:fill="EAF1DD" w:themeFill="accent3" w:themeFillTint="33"/>
            <w:vAlign w:val="center"/>
          </w:tcPr>
          <w:p w14:paraId="3314E01D"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yes</w:t>
            </w:r>
          </w:p>
        </w:tc>
        <w:tc>
          <w:tcPr>
            <w:tcW w:w="1219" w:type="dxa"/>
            <w:shd w:val="clear" w:color="auto" w:fill="EAF1DD" w:themeFill="accent3" w:themeFillTint="33"/>
            <w:noWrap/>
            <w:vAlign w:val="center"/>
          </w:tcPr>
          <w:p w14:paraId="42E67946" w14:textId="77777777" w:rsidR="00EC65B9" w:rsidRPr="004A7168" w:rsidRDefault="00EC65B9" w:rsidP="00924275">
            <w:pPr>
              <w:jc w:val="center"/>
              <w:rPr>
                <w:rFonts w:cs="Arial"/>
                <w:color w:val="000000" w:themeColor="text1"/>
                <w:sz w:val="18"/>
                <w:szCs w:val="18"/>
              </w:rPr>
            </w:pPr>
            <w:r w:rsidRPr="004A7168">
              <w:rPr>
                <w:rFonts w:cs="Arial"/>
                <w:color w:val="000000" w:themeColor="text1"/>
                <w:sz w:val="18"/>
                <w:szCs w:val="18"/>
              </w:rPr>
              <w:t>Not available</w:t>
            </w:r>
          </w:p>
        </w:tc>
      </w:tr>
    </w:tbl>
    <w:p w14:paraId="5E69C8E0" w14:textId="77777777" w:rsidR="00EC65B9" w:rsidRPr="00A81CB6" w:rsidRDefault="00EC65B9" w:rsidP="00EC65B9">
      <w:pPr>
        <w:autoSpaceDE w:val="0"/>
        <w:autoSpaceDN w:val="0"/>
        <w:adjustRightInd w:val="0"/>
        <w:rPr>
          <w:color w:val="000000" w:themeColor="text1"/>
          <w:sz w:val="18"/>
          <w:szCs w:val="18"/>
        </w:rPr>
      </w:pPr>
      <w:r w:rsidRPr="00A81CB6">
        <w:rPr>
          <w:color w:val="000000" w:themeColor="text1"/>
          <w:sz w:val="18"/>
          <w:szCs w:val="18"/>
          <w:vertAlign w:val="superscript"/>
        </w:rPr>
        <w:t>1</w:t>
      </w:r>
      <w:r w:rsidRPr="00A81CB6">
        <w:rPr>
          <w:color w:val="000000" w:themeColor="text1"/>
          <w:sz w:val="18"/>
          <w:szCs w:val="18"/>
        </w:rPr>
        <w:t xml:space="preserve"> p-values indicating significant differences are bolded and underlined.</w:t>
      </w:r>
    </w:p>
    <w:p w14:paraId="1B4C238D" w14:textId="77777777" w:rsidR="00EC65B9" w:rsidRPr="004A7168" w:rsidRDefault="00EC65B9" w:rsidP="00EC65B9">
      <w:pPr>
        <w:autoSpaceDE w:val="0"/>
        <w:autoSpaceDN w:val="0"/>
        <w:adjustRightInd w:val="0"/>
        <w:ind w:left="284" w:hanging="284"/>
        <w:rPr>
          <w:rFonts w:cs="Arial"/>
          <w:color w:val="000000" w:themeColor="text1"/>
          <w:sz w:val="18"/>
          <w:szCs w:val="18"/>
        </w:rPr>
      </w:pPr>
      <w:r w:rsidRPr="004A7168">
        <w:rPr>
          <w:color w:val="000000" w:themeColor="text1"/>
          <w:sz w:val="18"/>
          <w:szCs w:val="18"/>
          <w:vertAlign w:val="superscript"/>
        </w:rPr>
        <w:t>2</w:t>
      </w:r>
      <w:r w:rsidRPr="004A7168">
        <w:rPr>
          <w:rFonts w:cs="Arial"/>
          <w:color w:val="000000" w:themeColor="text1"/>
          <w:sz w:val="18"/>
          <w:szCs w:val="18"/>
        </w:rPr>
        <w:t xml:space="preserve"> mauve shading represents MS11 means that are significantly lower than the N90-740 means while orange shading represents MS11 means that are significantly higher.</w:t>
      </w:r>
    </w:p>
    <w:p w14:paraId="5D2DFB85" w14:textId="77777777" w:rsidR="0033454E" w:rsidRPr="008C29A2" w:rsidRDefault="0033454E" w:rsidP="0033454E">
      <w:pPr>
        <w:pStyle w:val="Heading2"/>
        <w:rPr>
          <w:color w:val="000000" w:themeColor="text1"/>
        </w:rPr>
      </w:pPr>
      <w:r w:rsidRPr="008C29A2">
        <w:rPr>
          <w:color w:val="000000" w:themeColor="text1"/>
        </w:rPr>
        <w:t xml:space="preserve">5.4 </w:t>
      </w:r>
      <w:r w:rsidRPr="008C29A2">
        <w:rPr>
          <w:color w:val="000000" w:themeColor="text1"/>
        </w:rPr>
        <w:tab/>
        <w:t>Conclusions of the compositional analyses</w:t>
      </w:r>
      <w:bookmarkEnd w:id="48"/>
    </w:p>
    <w:p w14:paraId="48170611" w14:textId="77777777" w:rsidR="0033454E" w:rsidRPr="00614580" w:rsidRDefault="0033454E" w:rsidP="0033454E">
      <w:pPr>
        <w:widowControl/>
        <w:autoSpaceDE w:val="0"/>
        <w:autoSpaceDN w:val="0"/>
        <w:adjustRightInd w:val="0"/>
        <w:rPr>
          <w:rFonts w:cs="Arial"/>
          <w:bCs/>
          <w:color w:val="000000" w:themeColor="text1"/>
          <w:szCs w:val="22"/>
        </w:rPr>
      </w:pPr>
      <w:r w:rsidRPr="008C29A2">
        <w:rPr>
          <w:color w:val="000000" w:themeColor="text1"/>
        </w:rPr>
        <w:t xml:space="preserve">Detailed compositional analyses were done to establish the nutritional adequacy of seed from MS11 and to characterise any unintended compositional changes. </w:t>
      </w:r>
      <w:r w:rsidRPr="008C29A2">
        <w:rPr>
          <w:rFonts w:cs="Arial"/>
          <w:color w:val="000000" w:themeColor="text1"/>
          <w:szCs w:val="22"/>
          <w:lang w:eastAsia="en-GB" w:bidi="ar-SA"/>
        </w:rPr>
        <w:t xml:space="preserve">Seed samples were analysed for proximates, fibre, fatty acids, amino acids, minerals, vitamins, anti-nutrients </w:t>
      </w:r>
      <w:r w:rsidRPr="00614580">
        <w:rPr>
          <w:rFonts w:cs="Arial"/>
          <w:color w:val="000000" w:themeColor="text1"/>
          <w:szCs w:val="22"/>
          <w:lang w:eastAsia="en-GB" w:bidi="ar-SA"/>
        </w:rPr>
        <w:t xml:space="preserve">(phytic acid, tannins and sinapine) and glucosinolates. </w:t>
      </w:r>
      <w:r w:rsidRPr="00614580">
        <w:rPr>
          <w:rFonts w:cs="Arial"/>
          <w:color w:val="000000" w:themeColor="text1"/>
          <w:szCs w:val="22"/>
        </w:rPr>
        <w:t>In total, 87 analytes were considered of which 30 had negligible levels that precluded inclusion in a statistical analysis.</w:t>
      </w:r>
    </w:p>
    <w:p w14:paraId="36509178" w14:textId="77777777" w:rsidR="0033454E" w:rsidRPr="00614580" w:rsidRDefault="0033454E" w:rsidP="0033454E">
      <w:pPr>
        <w:widowControl/>
        <w:autoSpaceDE w:val="0"/>
        <w:autoSpaceDN w:val="0"/>
        <w:adjustRightInd w:val="0"/>
        <w:rPr>
          <w:rFonts w:cs="Arial"/>
          <w:color w:val="000000" w:themeColor="text1"/>
          <w:szCs w:val="22"/>
          <w:lang w:eastAsia="en-GB" w:bidi="ar-SA"/>
        </w:rPr>
      </w:pPr>
    </w:p>
    <w:p w14:paraId="4BE97386" w14:textId="77777777" w:rsidR="0033454E" w:rsidRPr="00614580" w:rsidRDefault="0033454E" w:rsidP="0033454E">
      <w:pPr>
        <w:widowControl/>
        <w:autoSpaceDE w:val="0"/>
        <w:autoSpaceDN w:val="0"/>
        <w:adjustRightInd w:val="0"/>
        <w:rPr>
          <w:color w:val="000000" w:themeColor="text1"/>
        </w:rPr>
      </w:pPr>
      <w:r w:rsidRPr="00614580">
        <w:rPr>
          <w:color w:val="000000" w:themeColor="text1"/>
        </w:rPr>
        <w:t xml:space="preserve">The levels of each analyte from glufosinate-sprayed and unsprayed MS11 were compared to levels in: a) the non-GM parental line, N90-740, b) six non-GM commercial reference lines and c) levels recorded in the literature. </w:t>
      </w:r>
    </w:p>
    <w:p w14:paraId="5601A7BB" w14:textId="77777777" w:rsidR="0033454E" w:rsidRPr="00614580" w:rsidRDefault="0033454E" w:rsidP="0033454E">
      <w:pPr>
        <w:widowControl/>
        <w:autoSpaceDE w:val="0"/>
        <w:autoSpaceDN w:val="0"/>
        <w:adjustRightInd w:val="0"/>
        <w:rPr>
          <w:color w:val="000000" w:themeColor="text1"/>
        </w:rPr>
      </w:pPr>
    </w:p>
    <w:p w14:paraId="188C98C9" w14:textId="77777777" w:rsidR="0033454E" w:rsidRPr="00614580" w:rsidRDefault="0033454E" w:rsidP="0033454E">
      <w:pPr>
        <w:widowControl/>
        <w:autoSpaceDE w:val="0"/>
        <w:autoSpaceDN w:val="0"/>
        <w:adjustRightInd w:val="0"/>
        <w:rPr>
          <w:rFonts w:cs="Arial"/>
          <w:color w:val="000000" w:themeColor="text1"/>
          <w:szCs w:val="22"/>
        </w:rPr>
      </w:pPr>
      <w:r w:rsidRPr="00614580">
        <w:rPr>
          <w:color w:val="000000" w:themeColor="text1"/>
        </w:rPr>
        <w:t xml:space="preserve">Of the 57 analytes considered, </w:t>
      </w:r>
      <w:r w:rsidRPr="00614580">
        <w:rPr>
          <w:rFonts w:cs="Arial"/>
          <w:color w:val="000000" w:themeColor="text1"/>
          <w:szCs w:val="22"/>
        </w:rPr>
        <w:t xml:space="preserve">only two – gluconapin and insoluble tannins - were significantly different in a comparison between unsprayed MS11 and the control. In both instances, the levels fell within the 95% tolerance interval generated from the reference lines. </w:t>
      </w:r>
    </w:p>
    <w:p w14:paraId="64CE276A" w14:textId="77777777" w:rsidR="0033454E" w:rsidRPr="00614580" w:rsidRDefault="0033454E" w:rsidP="0033454E">
      <w:pPr>
        <w:widowControl/>
        <w:autoSpaceDE w:val="0"/>
        <w:autoSpaceDN w:val="0"/>
        <w:adjustRightInd w:val="0"/>
        <w:rPr>
          <w:rFonts w:cs="Arial"/>
          <w:color w:val="000000" w:themeColor="text1"/>
          <w:szCs w:val="22"/>
        </w:rPr>
      </w:pPr>
    </w:p>
    <w:p w14:paraId="53CB09E3" w14:textId="77777777" w:rsidR="0033454E" w:rsidRDefault="0033454E" w:rsidP="0033454E">
      <w:pPr>
        <w:widowControl/>
        <w:autoSpaceDE w:val="0"/>
        <w:autoSpaceDN w:val="0"/>
        <w:adjustRightInd w:val="0"/>
        <w:rPr>
          <w:rFonts w:cs="Arial"/>
          <w:color w:val="000000" w:themeColor="text1"/>
          <w:szCs w:val="22"/>
        </w:rPr>
      </w:pPr>
      <w:r w:rsidRPr="00614580">
        <w:rPr>
          <w:rFonts w:cs="Arial"/>
          <w:color w:val="000000" w:themeColor="text1"/>
          <w:szCs w:val="22"/>
        </w:rPr>
        <w:t xml:space="preserve">In contrast to this, in the comparison of analytes between </w:t>
      </w:r>
      <w:r>
        <w:rPr>
          <w:rFonts w:cs="Arial"/>
          <w:color w:val="000000" w:themeColor="text1"/>
          <w:szCs w:val="22"/>
        </w:rPr>
        <w:t>sprayed MS11 and the control, 31</w:t>
      </w:r>
      <w:r w:rsidRPr="00614580">
        <w:rPr>
          <w:rFonts w:cs="Arial"/>
          <w:color w:val="000000" w:themeColor="text1"/>
          <w:szCs w:val="22"/>
        </w:rPr>
        <w:t xml:space="preserve"> analytes were significantly different - most being higher in MS11 than in the control. </w:t>
      </w:r>
      <w:r>
        <w:rPr>
          <w:rFonts w:cs="Arial"/>
          <w:color w:val="000000" w:themeColor="text1"/>
          <w:szCs w:val="22"/>
        </w:rPr>
        <w:t xml:space="preserve">As discussed </w:t>
      </w:r>
      <w:r w:rsidRPr="004F4FDA">
        <w:rPr>
          <w:rFonts w:cs="Arial"/>
          <w:color w:val="000000" w:themeColor="text1"/>
          <w:szCs w:val="22"/>
        </w:rPr>
        <w:t>in Section 6.2, it</w:t>
      </w:r>
      <w:r>
        <w:rPr>
          <w:rFonts w:cs="Arial"/>
          <w:color w:val="000000" w:themeColor="text1"/>
          <w:szCs w:val="22"/>
        </w:rPr>
        <w:t xml:space="preserve"> was expected there would be little consistency in analyte levels between the seeds from sprayed and unsprayed MS11 because of the different pollen sources used to fertilise the sprayed MS11 plants. However, in all cases the</w:t>
      </w:r>
      <w:r w:rsidRPr="00614580">
        <w:rPr>
          <w:rFonts w:cs="Arial"/>
          <w:color w:val="000000" w:themeColor="text1"/>
          <w:szCs w:val="22"/>
        </w:rPr>
        <w:t xml:space="preserve"> levels </w:t>
      </w:r>
      <w:r>
        <w:rPr>
          <w:rFonts w:cs="Arial"/>
          <w:color w:val="000000" w:themeColor="text1"/>
          <w:szCs w:val="22"/>
        </w:rPr>
        <w:t xml:space="preserve">in the sprayed MS11 seed </w:t>
      </w:r>
      <w:r w:rsidRPr="00614580">
        <w:rPr>
          <w:rFonts w:cs="Arial"/>
          <w:color w:val="000000" w:themeColor="text1"/>
          <w:szCs w:val="22"/>
        </w:rPr>
        <w:t>were within the tolerance interval</w:t>
      </w:r>
      <w:r>
        <w:rPr>
          <w:rFonts w:cs="Arial"/>
          <w:color w:val="000000" w:themeColor="text1"/>
          <w:szCs w:val="22"/>
        </w:rPr>
        <w:t>. I</w:t>
      </w:r>
      <w:r w:rsidRPr="00614580">
        <w:rPr>
          <w:rFonts w:cs="Arial"/>
          <w:color w:val="000000" w:themeColor="text1"/>
          <w:szCs w:val="22"/>
        </w:rPr>
        <w:t>n six instances</w:t>
      </w:r>
      <w:r>
        <w:rPr>
          <w:rFonts w:cs="Arial"/>
          <w:color w:val="000000" w:themeColor="text1"/>
          <w:szCs w:val="22"/>
        </w:rPr>
        <w:t xml:space="preserve"> the levels exceeded</w:t>
      </w:r>
      <w:r w:rsidRPr="00614580">
        <w:rPr>
          <w:rFonts w:cs="Arial"/>
          <w:color w:val="000000" w:themeColor="text1"/>
          <w:szCs w:val="22"/>
        </w:rPr>
        <w:t xml:space="preserve"> the literature range - but in four of these, the levels in the non-GM control were also higher than the literature range.</w:t>
      </w:r>
    </w:p>
    <w:p w14:paraId="2F473763" w14:textId="77777777" w:rsidR="0033454E" w:rsidRPr="00614580" w:rsidRDefault="0033454E" w:rsidP="0033454E">
      <w:pPr>
        <w:widowControl/>
        <w:autoSpaceDE w:val="0"/>
        <w:autoSpaceDN w:val="0"/>
        <w:adjustRightInd w:val="0"/>
        <w:rPr>
          <w:rFonts w:cs="Arial"/>
          <w:color w:val="000000" w:themeColor="text1"/>
          <w:szCs w:val="22"/>
        </w:rPr>
      </w:pPr>
    </w:p>
    <w:p w14:paraId="5A249659" w14:textId="06D1B45C" w:rsidR="0033454E" w:rsidRDefault="00F75B45" w:rsidP="0033454E">
      <w:pPr>
        <w:widowControl/>
        <w:autoSpaceDE w:val="0"/>
        <w:autoSpaceDN w:val="0"/>
        <w:adjustRightInd w:val="0"/>
        <w:rPr>
          <w:rFonts w:cs="Arial"/>
          <w:color w:val="000000" w:themeColor="text1"/>
          <w:szCs w:val="22"/>
        </w:rPr>
      </w:pPr>
      <w:r>
        <w:rPr>
          <w:rFonts w:cs="Arial"/>
          <w:color w:val="000000" w:themeColor="text1"/>
          <w:szCs w:val="22"/>
        </w:rPr>
        <w:t xml:space="preserve">In </w:t>
      </w:r>
      <w:r w:rsidR="0033454E">
        <w:rPr>
          <w:rFonts w:cs="Arial"/>
          <w:color w:val="000000" w:themeColor="text1"/>
          <w:szCs w:val="22"/>
        </w:rPr>
        <w:t>conclusion</w:t>
      </w:r>
      <w:r>
        <w:rPr>
          <w:rFonts w:cs="Arial"/>
          <w:color w:val="000000" w:themeColor="text1"/>
          <w:szCs w:val="22"/>
        </w:rPr>
        <w:t>,</w:t>
      </w:r>
      <w:r w:rsidR="0033454E">
        <w:rPr>
          <w:rFonts w:cs="Arial"/>
          <w:color w:val="000000" w:themeColor="text1"/>
          <w:szCs w:val="22"/>
        </w:rPr>
        <w:t xml:space="preserve"> seed from MS11, whether from unsprayed MS11 plants or plants sprayed with glufosinate is compositionally equivalent to seed from conventional canola varieties. </w:t>
      </w:r>
    </w:p>
    <w:p w14:paraId="3600E64B" w14:textId="77777777" w:rsidR="00283E37" w:rsidRDefault="00283E37" w:rsidP="0033454E">
      <w:pPr>
        <w:widowControl/>
        <w:autoSpaceDE w:val="0"/>
        <w:autoSpaceDN w:val="0"/>
        <w:adjustRightInd w:val="0"/>
        <w:rPr>
          <w:rFonts w:cs="Arial"/>
          <w:color w:val="000000" w:themeColor="text1"/>
          <w:szCs w:val="22"/>
        </w:rPr>
      </w:pPr>
    </w:p>
    <w:p w14:paraId="48A8B5D0" w14:textId="77777777" w:rsidR="0033454E" w:rsidRPr="008D2F12" w:rsidRDefault="0033454E" w:rsidP="0033454E">
      <w:pPr>
        <w:pStyle w:val="Heading1"/>
        <w:ind w:left="720" w:hanging="720"/>
        <w:jc w:val="both"/>
        <w:rPr>
          <w:color w:val="000000" w:themeColor="text1"/>
          <w:szCs w:val="36"/>
        </w:rPr>
      </w:pPr>
      <w:bookmarkStart w:id="49" w:name="_Toc481491442"/>
      <w:r>
        <w:rPr>
          <w:color w:val="000000" w:themeColor="text1"/>
          <w:szCs w:val="36"/>
        </w:rPr>
        <w:t>6</w:t>
      </w:r>
      <w:r w:rsidRPr="008D2F12">
        <w:rPr>
          <w:color w:val="000000" w:themeColor="text1"/>
          <w:szCs w:val="36"/>
        </w:rPr>
        <w:tab/>
        <w:t>Nutritional impact</w:t>
      </w:r>
      <w:bookmarkEnd w:id="49"/>
    </w:p>
    <w:p w14:paraId="0B53D278" w14:textId="77777777" w:rsidR="0033454E" w:rsidRPr="008D2F12" w:rsidRDefault="0033454E" w:rsidP="0033454E">
      <w:pPr>
        <w:rPr>
          <w:rFonts w:cs="Arial"/>
          <w:color w:val="000000" w:themeColor="text1"/>
          <w:szCs w:val="22"/>
        </w:rPr>
      </w:pPr>
      <w:r w:rsidRPr="008D2F12">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29BDFA45" w14:textId="77777777" w:rsidR="0033454E" w:rsidRPr="008D2F12" w:rsidRDefault="0033454E" w:rsidP="0033454E">
      <w:pPr>
        <w:rPr>
          <w:rFonts w:cs="Arial"/>
          <w:color w:val="000000" w:themeColor="text1"/>
          <w:szCs w:val="22"/>
        </w:rPr>
      </w:pPr>
    </w:p>
    <w:p w14:paraId="7836F723" w14:textId="596675FA" w:rsidR="0033454E" w:rsidRPr="007B2BF4" w:rsidRDefault="0033454E" w:rsidP="0033454E">
      <w:pPr>
        <w:rPr>
          <w:rFonts w:cs="Arial"/>
          <w:color w:val="000000" w:themeColor="text1"/>
          <w:szCs w:val="22"/>
        </w:rPr>
      </w:pPr>
      <w:r w:rsidRPr="008D2F12">
        <w:rPr>
          <w:rFonts w:cs="Arial"/>
          <w:color w:val="000000" w:themeColor="text1"/>
          <w:szCs w:val="22"/>
        </w:rPr>
        <w:t>Where a GM food has been shown to be compositionally equivalent to conventional varieties</w:t>
      </w:r>
      <w:r w:rsidR="00BF5D31">
        <w:rPr>
          <w:rFonts w:cs="Arial"/>
          <w:color w:val="000000" w:themeColor="text1"/>
          <w:szCs w:val="22"/>
        </w:rPr>
        <w:t xml:space="preserve"> already in the food supply</w:t>
      </w:r>
      <w:r w:rsidRPr="008D2F12">
        <w:rPr>
          <w:rFonts w:cs="Arial"/>
          <w:color w:val="000000" w:themeColor="text1"/>
          <w:szCs w:val="22"/>
        </w:rPr>
        <w:t xml:space="preserve">, </w:t>
      </w:r>
      <w:r>
        <w:rPr>
          <w:rFonts w:cs="Arial"/>
          <w:color w:val="000000" w:themeColor="text1"/>
          <w:szCs w:val="22"/>
        </w:rPr>
        <w:t xml:space="preserve">as is the case with MS11, </w:t>
      </w:r>
      <w:r w:rsidR="00BF5D31">
        <w:rPr>
          <w:rFonts w:cs="Arial"/>
          <w:color w:val="000000" w:themeColor="text1"/>
          <w:szCs w:val="22"/>
        </w:rPr>
        <w:t>this</w:t>
      </w:r>
      <w:r w:rsidRPr="008D2F12">
        <w:rPr>
          <w:rFonts w:cs="Arial"/>
          <w:color w:val="000000" w:themeColor="text1"/>
          <w:szCs w:val="22"/>
        </w:rPr>
        <w:t xml:space="preserve"> indicates </w:t>
      </w:r>
      <w:r w:rsidR="00BF5D31">
        <w:rPr>
          <w:rFonts w:cs="Arial"/>
          <w:color w:val="000000" w:themeColor="text1"/>
          <w:szCs w:val="22"/>
        </w:rPr>
        <w:t>the food will be as nutritionally adequate as those varieties. Therefore,</w:t>
      </w:r>
      <w:r w:rsidRPr="008D2F12">
        <w:rPr>
          <w:rFonts w:cs="Arial"/>
          <w:color w:val="000000" w:themeColor="text1"/>
          <w:szCs w:val="22"/>
        </w:rPr>
        <w:t xml:space="preserve"> </w:t>
      </w:r>
      <w:r w:rsidR="00BF5D31">
        <w:rPr>
          <w:rFonts w:cs="Arial"/>
          <w:color w:val="000000" w:themeColor="text1"/>
          <w:szCs w:val="22"/>
        </w:rPr>
        <w:t xml:space="preserve">dietary modelling is not required and </w:t>
      </w:r>
      <w:r w:rsidRPr="008D2F12">
        <w:rPr>
          <w:rFonts w:cs="Arial"/>
          <w:color w:val="000000" w:themeColor="text1"/>
          <w:szCs w:val="22"/>
        </w:rPr>
        <w:t>feeding studies</w:t>
      </w:r>
      <w:r w:rsidR="00BF5D31">
        <w:rPr>
          <w:rFonts w:cs="Arial"/>
          <w:color w:val="000000" w:themeColor="text1"/>
          <w:szCs w:val="22"/>
        </w:rPr>
        <w:t xml:space="preserve"> using target livestock species</w:t>
      </w:r>
      <w:r w:rsidR="00F75B45">
        <w:rPr>
          <w:rFonts w:cs="Arial"/>
          <w:color w:val="000000" w:themeColor="text1"/>
          <w:szCs w:val="22"/>
        </w:rPr>
        <w:t xml:space="preserve"> </w:t>
      </w:r>
      <w:r w:rsidR="002B5414">
        <w:rPr>
          <w:rFonts w:cs="Arial"/>
          <w:color w:val="000000" w:themeColor="text1"/>
          <w:szCs w:val="22"/>
        </w:rPr>
        <w:t>are unlikely to</w:t>
      </w:r>
      <w:r w:rsidR="00BF5D31">
        <w:rPr>
          <w:rFonts w:cs="Arial"/>
          <w:color w:val="000000" w:themeColor="text1"/>
          <w:szCs w:val="22"/>
        </w:rPr>
        <w:t xml:space="preserve"> contribute any further useful information</w:t>
      </w:r>
      <w:r w:rsidRPr="008D2F12">
        <w:rPr>
          <w:rFonts w:cs="Arial"/>
          <w:color w:val="000000" w:themeColor="text1"/>
          <w:szCs w:val="22"/>
        </w:rPr>
        <w:t xml:space="preserve"> </w:t>
      </w:r>
      <w:r w:rsidRPr="008D2F12">
        <w:rPr>
          <w:rFonts w:cs="Arial"/>
          <w:noProof/>
          <w:color w:val="000000" w:themeColor="text1"/>
          <w:szCs w:val="22"/>
        </w:rPr>
        <w:t>(see e.g. OECD 2003; Bartholomaeus et al. 2013; Herman and Ekmay 2014).</w:t>
      </w:r>
      <w:r>
        <w:rPr>
          <w:rFonts w:cs="Arial"/>
          <w:noProof/>
          <w:color w:val="000000" w:themeColor="text1"/>
          <w:szCs w:val="22"/>
        </w:rPr>
        <w:t xml:space="preserve"> </w:t>
      </w:r>
    </w:p>
    <w:p w14:paraId="6FB40441" w14:textId="73D5EB02" w:rsidR="00283E37" w:rsidRDefault="00283E37" w:rsidP="0033454E">
      <w:pPr>
        <w:pStyle w:val="Header"/>
        <w:rPr>
          <w:rFonts w:cs="Arial"/>
          <w:color w:val="000000" w:themeColor="text1"/>
          <w:szCs w:val="22"/>
        </w:rPr>
      </w:pPr>
      <w:r>
        <w:rPr>
          <w:rFonts w:cs="Arial"/>
          <w:color w:val="000000" w:themeColor="text1"/>
          <w:szCs w:val="22"/>
        </w:rPr>
        <w:br w:type="page"/>
      </w:r>
    </w:p>
    <w:p w14:paraId="68142C45" w14:textId="77777777" w:rsidR="0033454E" w:rsidRPr="0033454E" w:rsidRDefault="0033454E" w:rsidP="0033454E">
      <w:pPr>
        <w:pStyle w:val="Heading1"/>
        <w:ind w:left="720" w:hanging="720"/>
        <w:jc w:val="both"/>
        <w:rPr>
          <w:color w:val="000000" w:themeColor="text1"/>
          <w:szCs w:val="36"/>
        </w:rPr>
      </w:pPr>
      <w:bookmarkStart w:id="50" w:name="_Toc481491443"/>
      <w:r w:rsidRPr="007B2BF4">
        <w:rPr>
          <w:color w:val="000000" w:themeColor="text1"/>
          <w:szCs w:val="36"/>
        </w:rPr>
        <w:lastRenderedPageBreak/>
        <w:t>7</w:t>
      </w:r>
      <w:r w:rsidRPr="007B2BF4">
        <w:rPr>
          <w:color w:val="000000" w:themeColor="text1"/>
          <w:szCs w:val="36"/>
        </w:rPr>
        <w:tab/>
        <w:t>References</w:t>
      </w:r>
      <w:r w:rsidRPr="00D93683">
        <w:rPr>
          <w:rStyle w:val="FootnoteReference"/>
          <w:color w:val="000000" w:themeColor="text1"/>
          <w:sz w:val="28"/>
          <w:szCs w:val="36"/>
        </w:rPr>
        <w:footnoteReference w:id="24"/>
      </w:r>
      <w:bookmarkEnd w:id="50"/>
    </w:p>
    <w:p w14:paraId="68F33A3E"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Altschul SF, Gish W, Miller W, Myers EW, Lipman DJ (1990) Basic local alignment search tool. Journal of Molecular Biology 215(3):403–410</w:t>
      </w:r>
    </w:p>
    <w:p w14:paraId="560E3AE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AOF (2016) Australian oilseeds. Australian Oilseeds Federation. </w:t>
      </w:r>
      <w:hyperlink r:id="rId33" w:history="1">
        <w:r w:rsidRPr="00A81CB6">
          <w:rPr>
            <w:rStyle w:val="Hyperlink"/>
            <w:rFonts w:cs="Arial"/>
            <w:noProof/>
            <w:color w:val="0000FF"/>
            <w:sz w:val="20"/>
            <w:szCs w:val="20"/>
          </w:rPr>
          <w:t>http://www.australianoilseeds.com/</w:t>
        </w:r>
      </w:hyperlink>
    </w:p>
    <w:p w14:paraId="7AF7B79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Astwood JD, Fuchs RL (1996) Allergenicity of foods derived from transgenic plants. Monographs in Allergy 32 (Highlights in Food Allergy):105–120</w:t>
      </w:r>
    </w:p>
    <w:p w14:paraId="0C4A203A"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Barthet VJ, Daun JK (2005) Effect of sprouting on the quality and composition of canola seed and oil. Journal of the American Oil Chemists' Society 82:511–517</w:t>
      </w:r>
    </w:p>
    <w:p w14:paraId="557276F8" w14:textId="75B5CE38" w:rsidR="00662933" w:rsidRPr="00A81CB6" w:rsidRDefault="00662933" w:rsidP="00662933">
      <w:pPr>
        <w:spacing w:after="240"/>
        <w:ind w:left="284" w:hanging="284"/>
        <w:rPr>
          <w:rFonts w:cs="Arial"/>
          <w:noProof/>
          <w:sz w:val="20"/>
          <w:szCs w:val="20"/>
        </w:rPr>
      </w:pPr>
      <w:r w:rsidRPr="00A81CB6">
        <w:rPr>
          <w:rFonts w:cs="Arial"/>
          <w:noProof/>
          <w:sz w:val="20"/>
          <w:szCs w:val="20"/>
        </w:rPr>
        <w:t>Bartholomaeus A, Parrott W, Bondy G, Walker K (2013) The use of whole food animal studies in the safety assessment of genetically modified crops: Limitations and recommendations. Critical Reviews in Toxicology 43(S2):1–24</w:t>
      </w:r>
    </w:p>
    <w:p w14:paraId="12C30FCA"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Baxevanis AD (2005) Assessing Pairwise Sequence Similarity: BLAST and FASTA. Ch 11 In: Baxevanis AD, Ouellette BFF (eds) Bioinformatics: A Practical Guide to the Analysis of Genes and Proteins. John Wiley &amp; Sons, Inc., p. 295–324</w:t>
      </w:r>
    </w:p>
    <w:p w14:paraId="60416D2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Bogdanov S (2016) Pollen: production, nutrition and health: a review. Bee Product Science. </w:t>
      </w:r>
      <w:hyperlink r:id="rId34" w:history="1">
        <w:r w:rsidRPr="00A81CB6">
          <w:rPr>
            <w:rStyle w:val="Hyperlink"/>
            <w:rFonts w:cs="Arial"/>
            <w:noProof/>
            <w:sz w:val="20"/>
            <w:szCs w:val="20"/>
          </w:rPr>
          <w:t>www.bee-hexagon.net/files/file/fileE/Health/PollenBook2Review.pdf</w:t>
        </w:r>
      </w:hyperlink>
      <w:r w:rsidRPr="00A81CB6">
        <w:rPr>
          <w:rFonts w:cs="Arial"/>
          <w:noProof/>
          <w:sz w:val="20"/>
          <w:szCs w:val="20"/>
          <w:u w:val="single"/>
        </w:rPr>
        <w:t xml:space="preserve"> </w:t>
      </w:r>
    </w:p>
    <w:p w14:paraId="4904866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Bonnardeaux J (2007) Uses for canola meal. Department of Agriculture and Food, Government of Western Australia,</w:t>
      </w:r>
    </w:p>
    <w:p w14:paraId="4DA4B0C0"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Botterman J, Gossele V, Thoen C, Lauwereys M (1991) Characterization of phosphinothricin acetyltrasnferase and C-terminal enzymatically active fusion proteins. Gene 102(1):33–37</w:t>
      </w:r>
    </w:p>
    <w:p w14:paraId="421D8A58"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Bradbury JF (1986) Guide to plant pathogenic bacteria.  Cambridge News Ltd, Aberystwyth</w:t>
      </w:r>
    </w:p>
    <w:p w14:paraId="02512E96"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Brand TS, Smith N, Hoffman LC (2007) Anti-nutritional factors in canola produced in the Western and Southern Cape areas of South Africa. South African Journal of Animal Science 37(1):45–50</w:t>
      </w:r>
    </w:p>
    <w:p w14:paraId="7F74D11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Bushey DF, Bannon GA, Delaney BF, Graser G, Hefford M, Jiang X, Lee TC, Madduri KM, Pariza M, Privalle LS, Ranjan R, Saab-Rincon G, Schafer BW, Thelen JJ, Zhang JXQ, Harper MS (2014) Characteristics and safety assessment of intractable proteins in genetically modified crops. Regulatory Toxicology and Pharmacology 69:154–170</w:t>
      </w:r>
    </w:p>
    <w:p w14:paraId="3F86135C"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Campbell L, Rempel CB, Wanasundara JPD (2016) Canola/rapeseed protein: future opportunities and directions - workshop proceedings of IRC 2015. Plants 5(2):7 pp</w:t>
      </w:r>
    </w:p>
    <w:p w14:paraId="15A17D1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CCC (2012) Steps in oil and meal processing. Canola Council of Canada. </w:t>
      </w:r>
      <w:hyperlink r:id="rId35" w:history="1">
        <w:r w:rsidRPr="00A81CB6">
          <w:rPr>
            <w:rStyle w:val="Hyperlink"/>
            <w:rFonts w:cs="Arial"/>
            <w:noProof/>
            <w:sz w:val="20"/>
            <w:szCs w:val="20"/>
          </w:rPr>
          <w:t>http://www.canolacouncil.org/oil-and-meal/what-is-canola/how-canola-is-processed/steps-in-oil-and-meal-processing/</w:t>
        </w:r>
      </w:hyperlink>
      <w:r w:rsidRPr="00A81CB6">
        <w:rPr>
          <w:rFonts w:cs="Arial"/>
          <w:noProof/>
          <w:sz w:val="20"/>
          <w:szCs w:val="20"/>
          <w:u w:val="single"/>
        </w:rPr>
        <w:t xml:space="preserve"> </w:t>
      </w:r>
    </w:p>
    <w:p w14:paraId="6F4814C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CCC (2014) Growth stages of the canola plant. Canola Council of Canada. </w:t>
      </w:r>
      <w:hyperlink r:id="rId36" w:history="1">
        <w:r w:rsidRPr="00A81CB6">
          <w:rPr>
            <w:rStyle w:val="Hyperlink"/>
            <w:rFonts w:cs="Arial"/>
            <w:noProof/>
            <w:sz w:val="20"/>
            <w:szCs w:val="20"/>
          </w:rPr>
          <w:t>http://www.canolacouncil.org/canola-encyclopedia/crop-development/growth-stages/</w:t>
        </w:r>
      </w:hyperlink>
      <w:r w:rsidRPr="00A81CB6">
        <w:rPr>
          <w:rFonts w:cs="Arial"/>
          <w:noProof/>
          <w:sz w:val="20"/>
          <w:szCs w:val="20"/>
          <w:u w:val="single"/>
        </w:rPr>
        <w:t xml:space="preserve"> </w:t>
      </w:r>
    </w:p>
    <w:p w14:paraId="3B51C5B9"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CERA (2011) A review of the environmental safety of the PAT protein. Environmental Biosafety Research 10:73–101. DOI: 10.1051/ebr/2012004. </w:t>
      </w:r>
    </w:p>
    <w:p w14:paraId="4B1B234C"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Chalhoub B, Denoeud F, Liu S, Parkin IAP, Tang H, Wang X, Chiquet J, Belcram H, Tong C, Samans B, Correa M, Da Silva C, Just J, Falentin C, and others (2014) Early allopolyploid evolution in the post-Neolithic </w:t>
      </w:r>
      <w:r w:rsidRPr="00A81CB6">
        <w:rPr>
          <w:rFonts w:cs="Arial"/>
          <w:i/>
          <w:noProof/>
          <w:sz w:val="20"/>
          <w:szCs w:val="20"/>
        </w:rPr>
        <w:t>Brassica napus</w:t>
      </w:r>
      <w:r w:rsidRPr="00A81CB6">
        <w:rPr>
          <w:rFonts w:cs="Arial"/>
          <w:noProof/>
          <w:sz w:val="20"/>
          <w:szCs w:val="20"/>
        </w:rPr>
        <w:t xml:space="preserve"> oilseed genome. Science 345(6199):950–953. doi: 10.1126/science.1253435. </w:t>
      </w:r>
    </w:p>
    <w:p w14:paraId="6B25F352"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Chawla G, Ranjan C (2016) Principle, instrumentation, and application of UPLC: a novel technique of liquid chromatography. Open Chemistry Journal 3:1–16</w:t>
      </w:r>
    </w:p>
    <w:p w14:paraId="29F4936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Codex (2009) Foods derived from modern biotechnology, 2nd edition. Codex Alimentarius Commission, Joint FAO/WHO Food Standards Programme, Food and Agriculture Organization of the United Nations, Rome. </w:t>
      </w:r>
      <w:hyperlink r:id="rId37" w:history="1">
        <w:r w:rsidRPr="00A81CB6">
          <w:rPr>
            <w:rStyle w:val="Hyperlink"/>
            <w:rFonts w:cs="Arial"/>
            <w:noProof/>
            <w:sz w:val="20"/>
            <w:szCs w:val="20"/>
          </w:rPr>
          <w:t>http://www.codexalimentarius.org/standards/thematic-publications/</w:t>
        </w:r>
      </w:hyperlink>
      <w:r w:rsidRPr="00A81CB6">
        <w:rPr>
          <w:rFonts w:cs="Arial"/>
          <w:noProof/>
          <w:sz w:val="20"/>
          <w:szCs w:val="20"/>
          <w:u w:val="single"/>
        </w:rPr>
        <w:t xml:space="preserve"> </w:t>
      </w:r>
    </w:p>
    <w:p w14:paraId="7C06F666" w14:textId="77777777" w:rsidR="00283E37" w:rsidRDefault="00283E37" w:rsidP="0033454E">
      <w:pPr>
        <w:spacing w:after="120"/>
        <w:ind w:left="284" w:hanging="284"/>
        <w:rPr>
          <w:rFonts w:cs="Arial"/>
          <w:noProof/>
          <w:sz w:val="20"/>
          <w:szCs w:val="20"/>
        </w:rPr>
      </w:pPr>
      <w:r>
        <w:rPr>
          <w:rFonts w:cs="Arial"/>
          <w:noProof/>
          <w:sz w:val="20"/>
          <w:szCs w:val="20"/>
        </w:rPr>
        <w:br w:type="page"/>
      </w:r>
    </w:p>
    <w:p w14:paraId="26C72DE2" w14:textId="3CCF6949" w:rsidR="0033454E" w:rsidRPr="00A81CB6" w:rsidRDefault="0033454E" w:rsidP="0033454E">
      <w:pPr>
        <w:spacing w:after="120"/>
        <w:ind w:left="284" w:hanging="284"/>
        <w:rPr>
          <w:rFonts w:cs="Arial"/>
          <w:noProof/>
          <w:sz w:val="20"/>
          <w:szCs w:val="20"/>
        </w:rPr>
      </w:pPr>
      <w:r w:rsidRPr="00A81CB6">
        <w:rPr>
          <w:rFonts w:cs="Arial"/>
          <w:noProof/>
          <w:sz w:val="20"/>
          <w:szCs w:val="20"/>
        </w:rPr>
        <w:lastRenderedPageBreak/>
        <w:t>Condon C, Putzer H (2002) The phylogenetic distribution of bacterial ribonucleases. Nucleic Acids Res 30(24):5339–5346</w:t>
      </w:r>
    </w:p>
    <w:p w14:paraId="423806AD"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Dairy One Cooperative Inc. (2011) Canola seed accumulated crop years: 05/01/2000 through 04/30/2011. Dairy One Cooperative Inc. Feed Composition Library. </w:t>
      </w:r>
      <w:hyperlink r:id="rId38" w:history="1">
        <w:r w:rsidRPr="00A81CB6">
          <w:rPr>
            <w:rStyle w:val="Hyperlink"/>
            <w:rFonts w:cs="Arial"/>
            <w:noProof/>
            <w:sz w:val="20"/>
            <w:szCs w:val="20"/>
          </w:rPr>
          <w:t>http://www.dairyone.com/Forage/FeedComp/mainlibrary.asp</w:t>
        </w:r>
      </w:hyperlink>
      <w:r w:rsidRPr="00A81CB6">
        <w:rPr>
          <w:rFonts w:cs="Arial"/>
          <w:noProof/>
          <w:sz w:val="20"/>
          <w:szCs w:val="20"/>
          <w:u w:val="single"/>
        </w:rPr>
        <w:t xml:space="preserve"> </w:t>
      </w:r>
    </w:p>
    <w:p w14:paraId="7A64F0F0"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De Block M, De Brouwer D, Tenning P (1989) Transformation of </w:t>
      </w:r>
      <w:r w:rsidRPr="00A81CB6">
        <w:rPr>
          <w:rFonts w:cs="Arial"/>
          <w:i/>
          <w:noProof/>
          <w:sz w:val="20"/>
          <w:szCs w:val="20"/>
        </w:rPr>
        <w:t>Brassica napus</w:t>
      </w:r>
      <w:r w:rsidRPr="00A81CB6">
        <w:rPr>
          <w:rFonts w:cs="Arial"/>
          <w:noProof/>
          <w:sz w:val="20"/>
          <w:szCs w:val="20"/>
        </w:rPr>
        <w:t xml:space="preserve"> and </w:t>
      </w:r>
      <w:r w:rsidRPr="00A81CB6">
        <w:rPr>
          <w:rFonts w:cs="Arial"/>
          <w:i/>
          <w:noProof/>
          <w:sz w:val="20"/>
          <w:szCs w:val="20"/>
        </w:rPr>
        <w:t>Brassica oleracea</w:t>
      </w:r>
      <w:r w:rsidRPr="00A81CB6">
        <w:rPr>
          <w:rFonts w:cs="Arial"/>
          <w:noProof/>
          <w:sz w:val="20"/>
          <w:szCs w:val="20"/>
        </w:rPr>
        <w:t xml:space="preserve"> using </w:t>
      </w:r>
      <w:r w:rsidRPr="00A81CB6">
        <w:rPr>
          <w:rFonts w:cs="Arial"/>
          <w:i/>
          <w:noProof/>
          <w:sz w:val="20"/>
          <w:szCs w:val="20"/>
        </w:rPr>
        <w:t>Agrobacterium tumefaciens</w:t>
      </w:r>
      <w:r w:rsidRPr="00A81CB6">
        <w:rPr>
          <w:rFonts w:cs="Arial"/>
          <w:noProof/>
          <w:sz w:val="20"/>
          <w:szCs w:val="20"/>
        </w:rPr>
        <w:t xml:space="preserve"> and the expression of the </w:t>
      </w:r>
      <w:r w:rsidRPr="00A81CB6">
        <w:rPr>
          <w:rFonts w:cs="Arial"/>
          <w:i/>
          <w:noProof/>
          <w:sz w:val="20"/>
          <w:szCs w:val="20"/>
        </w:rPr>
        <w:t>bar</w:t>
      </w:r>
      <w:r w:rsidRPr="00A81CB6">
        <w:rPr>
          <w:rFonts w:cs="Arial"/>
          <w:noProof/>
          <w:sz w:val="20"/>
          <w:szCs w:val="20"/>
        </w:rPr>
        <w:t xml:space="preserve"> and </w:t>
      </w:r>
      <w:r w:rsidRPr="00A81CB6">
        <w:rPr>
          <w:rFonts w:cs="Arial"/>
          <w:i/>
          <w:noProof/>
          <w:sz w:val="20"/>
          <w:szCs w:val="20"/>
        </w:rPr>
        <w:t>neo</w:t>
      </w:r>
      <w:r w:rsidRPr="00A81CB6">
        <w:rPr>
          <w:rFonts w:cs="Arial"/>
          <w:noProof/>
          <w:sz w:val="20"/>
          <w:szCs w:val="20"/>
        </w:rPr>
        <w:t xml:space="preserve"> genes in the transgenic plants. Plant Physiol 91:694–701</w:t>
      </w:r>
    </w:p>
    <w:p w14:paraId="0D7C1C1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Deblaere R, Reynaerts A, Höfte H, Hernalsteens J-P, Leemans J, van Montagu M (1987) Vectors for cloning in plant cells. Methods in Enzymology 153:277–292</w:t>
      </w:r>
    </w:p>
    <w:p w14:paraId="6D4DEC8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Delaney B, Astwood JD, Cunny H, Eichen Conn R, Herouet-Guicheney C, MacIntosh S, Meyer LS, Privalle LS, Gao Y, Mattsson J, Levine M, ILSI (2008) Evaluation of protein safety in the context of agricultural biotechnology. Food and Chemical Toxicology 46:S71–S97</w:t>
      </w:r>
    </w:p>
    <w:p w14:paraId="6177D8E6"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Dellaporta SL, Wood J, Hicks JB (1983) A plant DNA minipreparation: Version II. Plant Molecular Biology Reporter 1(4):19–21</w:t>
      </w:r>
    </w:p>
    <w:p w14:paraId="4DC8D1E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Depicker A, Stachel S, Dhaese P, Zambryski P, Goodman HM (1982) Nopaline synthase: transcript mapping and DNA sequence. Journal of Molecular and Applied Genetics 1(6):561–573</w:t>
      </w:r>
    </w:p>
    <w:p w14:paraId="2C2AAA9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Dhaese P, de Greve H, Gielen J, Seurinck J, van Montagu M, Schell J (1983) Identification of sequences involved in the polyadenylation of higher plant nuclear transcripts using </w:t>
      </w:r>
      <w:r w:rsidRPr="00A81CB6">
        <w:rPr>
          <w:rFonts w:cs="Arial"/>
          <w:i/>
          <w:noProof/>
          <w:sz w:val="20"/>
          <w:szCs w:val="20"/>
        </w:rPr>
        <w:t>Agrobacterium</w:t>
      </w:r>
      <w:r w:rsidRPr="00A81CB6">
        <w:rPr>
          <w:rFonts w:cs="Arial"/>
          <w:noProof/>
          <w:sz w:val="20"/>
          <w:szCs w:val="20"/>
        </w:rPr>
        <w:t xml:space="preserve"> T-DNA genes as models. The EMBO Journal 2(3):419–426</w:t>
      </w:r>
    </w:p>
    <w:p w14:paraId="7BE065B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Environment Canada and Health Canada (2015) Final screening assessment for 'DSL </w:t>
      </w:r>
      <w:r w:rsidRPr="00A81CB6">
        <w:rPr>
          <w:rFonts w:cs="Arial"/>
          <w:i/>
          <w:noProof/>
          <w:sz w:val="20"/>
          <w:szCs w:val="20"/>
        </w:rPr>
        <w:t>Bacillus licheniformis/subtilis</w:t>
      </w:r>
      <w:r w:rsidRPr="00A81CB6">
        <w:rPr>
          <w:rFonts w:cs="Arial"/>
          <w:noProof/>
          <w:sz w:val="20"/>
          <w:szCs w:val="20"/>
        </w:rPr>
        <w:t xml:space="preserve"> group'.</w:t>
      </w:r>
      <w:r w:rsidR="00BD2330" w:rsidRPr="00A81CB6">
        <w:rPr>
          <w:rFonts w:cs="Arial"/>
          <w:noProof/>
          <w:sz w:val="20"/>
          <w:szCs w:val="20"/>
        </w:rPr>
        <w:t xml:space="preserve"> </w:t>
      </w:r>
      <w:hyperlink r:id="rId39" w:history="1">
        <w:r w:rsidR="00BD2330" w:rsidRPr="00A81CB6">
          <w:rPr>
            <w:rStyle w:val="Hyperlink"/>
            <w:rFonts w:cs="Arial"/>
            <w:noProof/>
            <w:sz w:val="20"/>
            <w:szCs w:val="20"/>
          </w:rPr>
          <w:t>http://publications.gc.ca/site/archivee-archived.html?url=http://publications.gc.ca/collections/collection_2016/eccc/En14-228-2015-eng.pdf</w:t>
        </w:r>
      </w:hyperlink>
      <w:r w:rsidR="00BD2330" w:rsidRPr="00A81CB6">
        <w:rPr>
          <w:rFonts w:cs="Arial"/>
          <w:noProof/>
          <w:sz w:val="20"/>
          <w:szCs w:val="20"/>
          <w:u w:val="single"/>
        </w:rPr>
        <w:t xml:space="preserve"> </w:t>
      </w:r>
    </w:p>
    <w:p w14:paraId="6AAAC9B0"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FAOSTAT3 (2015) Online database of the Food and Agriculture Orga</w:t>
      </w:r>
      <w:r w:rsidR="00BD2330" w:rsidRPr="00A81CB6">
        <w:rPr>
          <w:rFonts w:cs="Arial"/>
          <w:noProof/>
          <w:sz w:val="20"/>
          <w:szCs w:val="20"/>
        </w:rPr>
        <w:t xml:space="preserve">nization of the United Nations. </w:t>
      </w:r>
      <w:hyperlink r:id="rId40" w:history="1">
        <w:r w:rsidR="00BD2330" w:rsidRPr="00A81CB6">
          <w:rPr>
            <w:rStyle w:val="Hyperlink"/>
            <w:rFonts w:cs="Arial"/>
            <w:noProof/>
            <w:sz w:val="20"/>
            <w:szCs w:val="20"/>
          </w:rPr>
          <w:t>http://faostat3.fao.org/browse/T/TP/E</w:t>
        </w:r>
      </w:hyperlink>
      <w:r w:rsidR="00BD2330" w:rsidRPr="00A81CB6">
        <w:rPr>
          <w:rFonts w:cs="Arial"/>
          <w:noProof/>
          <w:sz w:val="20"/>
          <w:szCs w:val="20"/>
          <w:u w:val="single"/>
        </w:rPr>
        <w:t xml:space="preserve"> </w:t>
      </w:r>
    </w:p>
    <w:p w14:paraId="35084539"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FSANZ (2002) Application A372 - Food derived from herbicide-tolerant canola lines Topas 19/2 and T45 and herbicide-tolerant and pollination controlled canola lines Ms1, Ms8, Rf1, Rf2 and Rf3. Report prepared by Food S</w:t>
      </w:r>
      <w:r w:rsidR="00BD2330" w:rsidRPr="00A81CB6">
        <w:rPr>
          <w:rFonts w:cs="Arial"/>
          <w:noProof/>
          <w:sz w:val="20"/>
          <w:szCs w:val="20"/>
        </w:rPr>
        <w:t xml:space="preserve">tandards Australia New Zealand. </w:t>
      </w:r>
      <w:hyperlink r:id="rId41" w:history="1">
        <w:r w:rsidR="00BD2330" w:rsidRPr="00A81CB6">
          <w:rPr>
            <w:rStyle w:val="Hyperlink"/>
            <w:rFonts w:cs="Arial"/>
            <w:noProof/>
            <w:sz w:val="20"/>
            <w:szCs w:val="20"/>
          </w:rPr>
          <w:t>http://www.foodstandards.gov.au/</w:t>
        </w:r>
      </w:hyperlink>
      <w:r w:rsidR="00BD2330" w:rsidRPr="00A81CB6">
        <w:rPr>
          <w:rFonts w:cs="Arial"/>
          <w:noProof/>
          <w:sz w:val="20"/>
          <w:szCs w:val="20"/>
          <w:u w:val="single"/>
        </w:rPr>
        <w:t xml:space="preserve"> </w:t>
      </w:r>
    </w:p>
    <w:p w14:paraId="19545ED8"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FSANZ (2006) Application A533 - Food derived from herbicide-tolerant cotton line LL25. Report prepared by Food S</w:t>
      </w:r>
      <w:r w:rsidR="00BD2330" w:rsidRPr="00A81CB6">
        <w:rPr>
          <w:rFonts w:cs="Arial"/>
          <w:noProof/>
          <w:sz w:val="20"/>
          <w:szCs w:val="20"/>
        </w:rPr>
        <w:t xml:space="preserve">tandards Australia New Zealand. </w:t>
      </w:r>
      <w:hyperlink r:id="rId42" w:history="1">
        <w:r w:rsidR="00BD2330" w:rsidRPr="00A81CB6">
          <w:rPr>
            <w:rStyle w:val="Hyperlink"/>
            <w:rFonts w:cs="Arial"/>
            <w:noProof/>
            <w:sz w:val="20"/>
            <w:szCs w:val="20"/>
          </w:rPr>
          <w:t>http://www.foodstandards.gov.au/code/applications/pages/applicationa533foodd2440.aspx</w:t>
        </w:r>
      </w:hyperlink>
      <w:r w:rsidR="00BD2330" w:rsidRPr="00A81CB6">
        <w:rPr>
          <w:rFonts w:cs="Arial"/>
          <w:noProof/>
          <w:sz w:val="20"/>
          <w:szCs w:val="20"/>
          <w:u w:val="single"/>
        </w:rPr>
        <w:t xml:space="preserve"> </w:t>
      </w:r>
    </w:p>
    <w:p w14:paraId="54C754B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Goodman RE (2006) Practical and predictive bioinformatics methods for the identification of potentially cross-reactive protein matches. Molecular Nutrition and Food Research 50:655–660</w:t>
      </w:r>
    </w:p>
    <w:p w14:paraId="7E09DEEC"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Guillet V, Lapthorn A, Hartley RW, Mauguen Y (1993) Recognition between a bacterial ribonuclease, barnase, and its natural inhibitor, barstar. Structure 1(3):165–176</w:t>
      </w:r>
    </w:p>
    <w:p w14:paraId="5BB9F9E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Harrigan GG, Glenn KC, Ridley WP (2010) Assessing the natural variability in crop composition. Regulatory Toxicology and Pharmacology 58:S13–S20; doi:10.1016/j.yrtph.2010.08.023</w:t>
      </w:r>
    </w:p>
    <w:p w14:paraId="08B4B14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Hartley RW (1988) Barnase and barstar. Expression of its cloned inhibitor permits expression of a cloned ribonuclease. Journal of Molecular Biology 202(4):913–915</w:t>
      </w:r>
    </w:p>
    <w:p w14:paraId="170146D6"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Hartley RW (1989) Barnase and barstar: two small proteins to fold and fit together. Trends in Bioch</w:t>
      </w:r>
      <w:r w:rsidR="00BD2330" w:rsidRPr="00A81CB6">
        <w:rPr>
          <w:rFonts w:cs="Arial"/>
          <w:noProof/>
          <w:sz w:val="20"/>
          <w:szCs w:val="20"/>
        </w:rPr>
        <w:t xml:space="preserve">emical Sciences 14(11):450–454. </w:t>
      </w:r>
      <w:r w:rsidRPr="00A81CB6">
        <w:rPr>
          <w:rFonts w:cs="Arial"/>
          <w:noProof/>
          <w:sz w:val="20"/>
          <w:szCs w:val="20"/>
        </w:rPr>
        <w:t xml:space="preserve">DOI: http://dx.doi.org/10.1016/0968-0004(89)90104-7. </w:t>
      </w:r>
    </w:p>
    <w:p w14:paraId="27073E02"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Hartley RW, Smeaton JR (1973) On the reaction between the extracellular ribonuclease of </w:t>
      </w:r>
      <w:r w:rsidRPr="00A81CB6">
        <w:rPr>
          <w:rFonts w:cs="Arial"/>
          <w:i/>
          <w:noProof/>
          <w:sz w:val="20"/>
          <w:szCs w:val="20"/>
        </w:rPr>
        <w:t>Bacillus amyloliquefaciens</w:t>
      </w:r>
      <w:r w:rsidRPr="00A81CB6">
        <w:rPr>
          <w:rFonts w:cs="Arial"/>
          <w:noProof/>
          <w:sz w:val="20"/>
          <w:szCs w:val="20"/>
        </w:rPr>
        <w:t xml:space="preserve"> (Barnase) and its intracellular inhibitor (Barstar). The Journal of Biological Chemistry 248(16):5624–5626</w:t>
      </w:r>
    </w:p>
    <w:p w14:paraId="4133526B" w14:textId="77777777" w:rsidR="00662933" w:rsidRPr="00A81CB6" w:rsidRDefault="00662933" w:rsidP="00662933">
      <w:pPr>
        <w:spacing w:after="240"/>
        <w:ind w:left="284" w:hanging="284"/>
        <w:rPr>
          <w:rFonts w:cs="Arial"/>
          <w:noProof/>
          <w:sz w:val="20"/>
          <w:szCs w:val="20"/>
        </w:rPr>
      </w:pPr>
      <w:r w:rsidRPr="00A81CB6">
        <w:rPr>
          <w:rFonts w:cs="Arial"/>
          <w:noProof/>
          <w:sz w:val="20"/>
          <w:szCs w:val="20"/>
        </w:rPr>
        <w:t>Herman RA, Ekmay R (2014) Do whole-food animal feeding studies have any value in the safety assessment of GM crops? Regulatory Toxicology and Pharmacology 68:171–174</w:t>
      </w:r>
    </w:p>
    <w:p w14:paraId="5BE2AA64" w14:textId="185FF29F" w:rsidR="00283E37" w:rsidRDefault="0033454E" w:rsidP="0033454E">
      <w:pPr>
        <w:spacing w:after="120"/>
        <w:ind w:left="284" w:hanging="284"/>
        <w:rPr>
          <w:rFonts w:cs="Arial"/>
          <w:noProof/>
          <w:sz w:val="20"/>
          <w:szCs w:val="20"/>
        </w:rPr>
      </w:pPr>
      <w:r w:rsidRPr="00A81CB6">
        <w:rPr>
          <w:rFonts w:cs="Arial"/>
          <w:noProof/>
          <w:sz w:val="20"/>
          <w:szCs w:val="20"/>
        </w:rPr>
        <w:t>Herman RA, Woolhiser MM, Ladics GS, Korjagin VA, Schafer BW, Storer NP, Green SB, Kan L (2007) Stability of a set of allergens and non-allergens in simulated gastric fluid. International Journal of Food Sciences and Nutrition 58:125–141</w:t>
      </w:r>
      <w:r w:rsidR="00283E37">
        <w:rPr>
          <w:rFonts w:cs="Arial"/>
          <w:noProof/>
          <w:sz w:val="20"/>
          <w:szCs w:val="20"/>
        </w:rPr>
        <w:br w:type="page"/>
      </w:r>
    </w:p>
    <w:p w14:paraId="21AFAC1A"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lastRenderedPageBreak/>
        <w:t xml:space="preserve">Hérouet C, Esdaile DJ, Mallyon BA, Debruyne E, Schulz A, Currier T, Hendrickx K, van der Klis R-J, Rouan D (2005) Safety evaluation of the phosphinothricin acetyltransferase proteins encoded by the </w:t>
      </w:r>
      <w:r w:rsidRPr="00A81CB6">
        <w:rPr>
          <w:rFonts w:cs="Arial"/>
          <w:i/>
          <w:noProof/>
          <w:sz w:val="20"/>
          <w:szCs w:val="20"/>
        </w:rPr>
        <w:t>pat</w:t>
      </w:r>
      <w:r w:rsidRPr="00A81CB6">
        <w:rPr>
          <w:rFonts w:cs="Arial"/>
          <w:noProof/>
          <w:sz w:val="20"/>
          <w:szCs w:val="20"/>
        </w:rPr>
        <w:t xml:space="preserve"> and </w:t>
      </w:r>
      <w:r w:rsidRPr="00A81CB6">
        <w:rPr>
          <w:rFonts w:cs="Arial"/>
          <w:i/>
          <w:noProof/>
          <w:sz w:val="20"/>
          <w:szCs w:val="20"/>
        </w:rPr>
        <w:t>bar</w:t>
      </w:r>
      <w:r w:rsidRPr="00A81CB6">
        <w:rPr>
          <w:rFonts w:cs="Arial"/>
          <w:noProof/>
          <w:sz w:val="20"/>
          <w:szCs w:val="20"/>
        </w:rPr>
        <w:t xml:space="preserve"> sequences that confer tolerance to glufosinate-ammonium herbicide in transgenic plants. Regulatory Toxicology and Pharmacology 41:134–149</w:t>
      </w:r>
    </w:p>
    <w:p w14:paraId="23AB8C1D" w14:textId="77777777" w:rsidR="009F70F2" w:rsidRPr="00A81CB6" w:rsidRDefault="00D244D3" w:rsidP="009F70F2">
      <w:pPr>
        <w:ind w:left="284" w:hanging="284"/>
        <w:rPr>
          <w:rFonts w:cs="Arial"/>
          <w:noProof/>
          <w:sz w:val="20"/>
          <w:szCs w:val="20"/>
        </w:rPr>
      </w:pPr>
      <w:r w:rsidRPr="00A81CB6">
        <w:rPr>
          <w:rFonts w:cs="Arial"/>
          <w:noProof/>
          <w:sz w:val="20"/>
          <w:szCs w:val="20"/>
        </w:rPr>
        <w:t>Huby RDJ, Dearman RJ, Kimber I (2000) Why are some proteins allergens? Tox</w:t>
      </w:r>
      <w:r w:rsidR="009F70F2" w:rsidRPr="00A81CB6">
        <w:rPr>
          <w:rFonts w:cs="Arial"/>
          <w:noProof/>
          <w:sz w:val="20"/>
          <w:szCs w:val="20"/>
        </w:rPr>
        <w:t xml:space="preserve">icological Sciences 55:235–246. </w:t>
      </w:r>
      <w:hyperlink r:id="rId43" w:history="1">
        <w:r w:rsidR="009F70F2" w:rsidRPr="00A81CB6">
          <w:rPr>
            <w:rStyle w:val="Hyperlink"/>
            <w:rFonts w:cs="Arial"/>
            <w:noProof/>
            <w:sz w:val="20"/>
            <w:szCs w:val="20"/>
          </w:rPr>
          <w:t>https://doi.org/10.1093/toxsci/55.2.235</w:t>
        </w:r>
      </w:hyperlink>
      <w:r w:rsidR="009F70F2" w:rsidRPr="00A81CB6">
        <w:rPr>
          <w:rFonts w:cs="Arial"/>
          <w:noProof/>
          <w:sz w:val="20"/>
          <w:szCs w:val="20"/>
        </w:rPr>
        <w:t xml:space="preserve"> </w:t>
      </w:r>
    </w:p>
    <w:p w14:paraId="151EE0BD" w14:textId="77777777" w:rsidR="009F70F2" w:rsidRPr="00A81CB6" w:rsidRDefault="009F70F2" w:rsidP="009F70F2">
      <w:pPr>
        <w:ind w:left="284" w:hanging="284"/>
        <w:rPr>
          <w:rFonts w:cs="Arial"/>
          <w:noProof/>
          <w:sz w:val="20"/>
          <w:szCs w:val="20"/>
        </w:rPr>
      </w:pPr>
    </w:p>
    <w:p w14:paraId="6B6A18E4" w14:textId="10783E85" w:rsidR="0033454E" w:rsidRPr="00A81CB6" w:rsidRDefault="0033454E" w:rsidP="009F70F2">
      <w:pPr>
        <w:ind w:left="284" w:hanging="284"/>
        <w:rPr>
          <w:rFonts w:cs="Arial"/>
          <w:noProof/>
          <w:sz w:val="20"/>
          <w:szCs w:val="20"/>
        </w:rPr>
      </w:pPr>
      <w:r w:rsidRPr="00A81CB6">
        <w:rPr>
          <w:rFonts w:cs="Arial"/>
          <w:noProof/>
          <w:sz w:val="20"/>
          <w:szCs w:val="20"/>
        </w:rPr>
        <w:t xml:space="preserve">Kim S-I, Veena, Gelvin SB (2007) Genome-wide analysis of </w:t>
      </w:r>
      <w:r w:rsidRPr="00A81CB6">
        <w:rPr>
          <w:rFonts w:cs="Arial"/>
          <w:i/>
          <w:noProof/>
          <w:sz w:val="20"/>
          <w:szCs w:val="20"/>
        </w:rPr>
        <w:t>Agrobacterium</w:t>
      </w:r>
      <w:r w:rsidRPr="00A81CB6">
        <w:rPr>
          <w:rFonts w:cs="Arial"/>
          <w:noProof/>
          <w:sz w:val="20"/>
          <w:szCs w:val="20"/>
        </w:rPr>
        <w:t xml:space="preserve"> T-DNA integration sites in the Arabidopsis genome generated under non-selective conditions. The Plant Journal 51:779–791</w:t>
      </w:r>
    </w:p>
    <w:p w14:paraId="5CA0660F" w14:textId="77777777" w:rsidR="009F70F2" w:rsidRPr="00A81CB6" w:rsidRDefault="009F70F2" w:rsidP="009F70F2">
      <w:pPr>
        <w:ind w:left="284" w:hanging="284"/>
        <w:rPr>
          <w:rFonts w:cs="Arial"/>
          <w:noProof/>
          <w:sz w:val="20"/>
          <w:szCs w:val="20"/>
        </w:rPr>
      </w:pPr>
    </w:p>
    <w:p w14:paraId="6049CC8D"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Kimber I, Kerkvliet NI, Taylor SL, Astwood JD, Sarlo K, Dearman RJ (1999) Toxicology of protein allergenicity: prediction and characterization. Toxicological Sciences 48:157–162</w:t>
      </w:r>
    </w:p>
    <w:p w14:paraId="0A39227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Krebbers E, Seurinck J, Herdies L, Cashmore AR, Timko MP (1988) Four genes in two diverged subfamilies encode the ribulose-1,5-bisphosphate carboxylase small subunit polypeptides of </w:t>
      </w:r>
      <w:r w:rsidRPr="00A81CB6">
        <w:rPr>
          <w:rFonts w:cs="Arial"/>
          <w:i/>
          <w:noProof/>
          <w:sz w:val="20"/>
          <w:szCs w:val="20"/>
        </w:rPr>
        <w:t>Arabidopsis thaliana</w:t>
      </w:r>
      <w:r w:rsidRPr="00A81CB6">
        <w:rPr>
          <w:rFonts w:cs="Arial"/>
          <w:noProof/>
          <w:sz w:val="20"/>
          <w:szCs w:val="20"/>
        </w:rPr>
        <w:t>. Plant Molecular Biology 11:745–749</w:t>
      </w:r>
    </w:p>
    <w:p w14:paraId="4CEB7ED4" w14:textId="77777777" w:rsidR="0033454E" w:rsidRPr="00A81CB6" w:rsidRDefault="0033454E" w:rsidP="009F70F2">
      <w:pPr>
        <w:spacing w:after="120"/>
        <w:ind w:left="284" w:hanging="284"/>
        <w:rPr>
          <w:rFonts w:cs="Arial"/>
          <w:noProof/>
          <w:sz w:val="20"/>
          <w:szCs w:val="20"/>
        </w:rPr>
      </w:pPr>
      <w:r w:rsidRPr="00A81CB6">
        <w:rPr>
          <w:rFonts w:cs="Arial"/>
          <w:noProof/>
          <w:sz w:val="20"/>
          <w:szCs w:val="20"/>
        </w:rPr>
        <w:t>Kützner HJ (1981) The Family Streptomycetaceae. In: Starr MP, Stolp H, Trüper HG, Ballows A, and Schlegel HG (eds) The Prokaryotes: A Handbook on Habitats, Isolation and Identification of Bacteria. Springer Verlag, Berlin, p. 2028–2090</w:t>
      </w:r>
    </w:p>
    <w:p w14:paraId="0A9C8970" w14:textId="77777777" w:rsidR="009F70F2" w:rsidRPr="00A81CB6" w:rsidRDefault="009F70F2" w:rsidP="009F70F2">
      <w:pPr>
        <w:tabs>
          <w:tab w:val="left" w:pos="0"/>
        </w:tabs>
        <w:spacing w:after="240"/>
        <w:ind w:left="284" w:hanging="284"/>
        <w:rPr>
          <w:rFonts w:cs="Arial"/>
          <w:noProof/>
          <w:sz w:val="20"/>
          <w:szCs w:val="20"/>
        </w:rPr>
      </w:pPr>
      <w:r w:rsidRPr="00A81CB6">
        <w:rPr>
          <w:rFonts w:cs="Arial"/>
          <w:noProof/>
          <w:sz w:val="20"/>
          <w:szCs w:val="20"/>
        </w:rPr>
        <w:t>Lee R-Y, Reiner D, Dekan G, Moore AE, Higgins TJV (2013) Genetically modified a-amylase inhibitor peas are not specifically allergenic in mice. PLoS ONE 8 (online access)(1):e52972</w:t>
      </w:r>
    </w:p>
    <w:p w14:paraId="016D57D2"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Mariani C, De Beuckeleer M, Truettner J, Leemans J, Goldberg RB (1990) Induction of male sterility in plants by a chimaeric ribonuc</w:t>
      </w:r>
      <w:r w:rsidR="00BD2330" w:rsidRPr="00A81CB6">
        <w:rPr>
          <w:rFonts w:cs="Arial"/>
          <w:noProof/>
          <w:sz w:val="20"/>
          <w:szCs w:val="20"/>
        </w:rPr>
        <w:t xml:space="preserve">lease gene. Nature 347:737–741. </w:t>
      </w:r>
      <w:r w:rsidRPr="00A81CB6">
        <w:rPr>
          <w:rFonts w:cs="Arial"/>
          <w:noProof/>
          <w:sz w:val="20"/>
          <w:szCs w:val="20"/>
        </w:rPr>
        <w:t xml:space="preserve">DOI: 10.1038/347737a0. </w:t>
      </w:r>
    </w:p>
    <w:p w14:paraId="5ACECDBB"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Mariani C, Gossele V, De Beuckeleer M, De Block M, Goldberg RB, De Greef W, Leemans J (1992) A chimaeric ribonuclease-inhibitor gene restores fertility to male sterile pl</w:t>
      </w:r>
      <w:r w:rsidR="00BD2330" w:rsidRPr="00A81CB6">
        <w:rPr>
          <w:rFonts w:cs="Arial"/>
          <w:noProof/>
          <w:sz w:val="20"/>
          <w:szCs w:val="20"/>
        </w:rPr>
        <w:t xml:space="preserve">ants. Nature 357(6377):384–387. </w:t>
      </w:r>
      <w:r w:rsidRPr="00A81CB6">
        <w:rPr>
          <w:rFonts w:cs="Arial"/>
          <w:noProof/>
          <w:sz w:val="20"/>
          <w:szCs w:val="20"/>
        </w:rPr>
        <w:t xml:space="preserve">DOI: 10.1038/357384a0. </w:t>
      </w:r>
    </w:p>
    <w:p w14:paraId="4AB772D9"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Marwede V, Schierholt C, Möllers C, Becker HC (2004) Genotype x environment interactions and heritability of tocopherol contents in canola. Crop Science 44:728–731</w:t>
      </w:r>
    </w:p>
    <w:p w14:paraId="7ABDD40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Metcalfe DD, Astwood JD, Townsend R, Sampson HA, Taylor SL, Fuchs RL (1996) Assessment of the allergenic potential of foods derived from genetically engineered crop plants. Critical Reviews in Food Science and Nutrition 36 Suppl:S165–S186</w:t>
      </w:r>
    </w:p>
    <w:p w14:paraId="5F7D2C7F"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Michiels, F., Botterman, J., Cornelissen, M (2000) Method to obtain male sterile plants. Patent US 6025546 Patent Application PCT/EP96,00722</w:t>
      </w:r>
    </w:p>
    <w:p w14:paraId="6020F74D"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Miletich JP, Broze Jr. GJ (1990) b Protein C is not glycosylated at asparagine 329. The Journal of Biological Chemistry 265:11397–11404</w:t>
      </w:r>
    </w:p>
    <w:p w14:paraId="6BBC25C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Murakami T, Anzai H, Imai S, Satoh A, Nagaoka K, Thompson CJ (1986) The bialaphos biosynthetic genes of </w:t>
      </w:r>
      <w:r w:rsidRPr="00A81CB6">
        <w:rPr>
          <w:rFonts w:cs="Arial"/>
          <w:i/>
          <w:noProof/>
          <w:sz w:val="20"/>
          <w:szCs w:val="20"/>
        </w:rPr>
        <w:t>Streptomyces hygroscopicus</w:t>
      </w:r>
      <w:r w:rsidRPr="00A81CB6">
        <w:rPr>
          <w:rFonts w:cs="Arial"/>
          <w:noProof/>
          <w:sz w:val="20"/>
          <w:szCs w:val="20"/>
        </w:rPr>
        <w:t>: Molecular cloning and characterization of the gene cluster. Molecular and General Genetics 205:42–50</w:t>
      </w:r>
    </w:p>
    <w:p w14:paraId="2C023735"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OECD (1999) Consensus document on general information concerning the genes and their enzymes that confer tolerance to phosphinothricin herbicide. ENV/JM/MO</w:t>
      </w:r>
      <w:r w:rsidR="00BD2330" w:rsidRPr="00A81CB6">
        <w:rPr>
          <w:rFonts w:cs="Arial"/>
          <w:noProof/>
          <w:sz w:val="20"/>
          <w:szCs w:val="20"/>
        </w:rPr>
        <w:t xml:space="preserve">NO(99)13. </w:t>
      </w:r>
      <w:hyperlink r:id="rId44" w:history="1">
        <w:r w:rsidR="00BD2330" w:rsidRPr="00A81CB6">
          <w:rPr>
            <w:rStyle w:val="Hyperlink"/>
            <w:rFonts w:cs="Arial"/>
            <w:noProof/>
            <w:sz w:val="20"/>
            <w:szCs w:val="20"/>
          </w:rPr>
          <w:t>https://www.oecd.org/env/ehs/biotrack/46815628.pdf</w:t>
        </w:r>
      </w:hyperlink>
      <w:r w:rsidR="00BD2330" w:rsidRPr="00A81CB6">
        <w:rPr>
          <w:rFonts w:cs="Arial"/>
          <w:noProof/>
          <w:sz w:val="20"/>
          <w:szCs w:val="20"/>
          <w:u w:val="single"/>
        </w:rPr>
        <w:t xml:space="preserve"> </w:t>
      </w:r>
    </w:p>
    <w:p w14:paraId="6C0CC617" w14:textId="77777777" w:rsidR="0033454E" w:rsidRPr="00A81CB6" w:rsidRDefault="0033454E" w:rsidP="00BD2330">
      <w:pPr>
        <w:spacing w:after="120"/>
        <w:ind w:left="284" w:hanging="284"/>
        <w:rPr>
          <w:rFonts w:cs="Arial"/>
          <w:noProof/>
          <w:sz w:val="20"/>
          <w:szCs w:val="20"/>
          <w:u w:val="single"/>
        </w:rPr>
      </w:pPr>
      <w:r w:rsidRPr="00A81CB6">
        <w:rPr>
          <w:rFonts w:cs="Arial"/>
          <w:noProof/>
          <w:sz w:val="20"/>
          <w:szCs w:val="20"/>
        </w:rPr>
        <w:t>OECD (2001) Consensus document on key nutrients and key toxicants in low erucic acid rapeseed (canola). ENV/JM/MONO(2001)13. Organisation for Economic Co-op</w:t>
      </w:r>
      <w:r w:rsidR="00BD2330" w:rsidRPr="00A81CB6">
        <w:rPr>
          <w:rFonts w:cs="Arial"/>
          <w:noProof/>
          <w:sz w:val="20"/>
          <w:szCs w:val="20"/>
        </w:rPr>
        <w:t xml:space="preserve">eration and Development, Paris. </w:t>
      </w:r>
      <w:hyperlink r:id="rId45" w:history="1">
        <w:r w:rsidR="00BD2330" w:rsidRPr="00A81CB6">
          <w:rPr>
            <w:rStyle w:val="Hyperlink"/>
            <w:rFonts w:cs="Arial"/>
            <w:noProof/>
            <w:sz w:val="20"/>
            <w:szCs w:val="20"/>
          </w:rPr>
          <w:t>http://www.oecd.org/science/biotrack/consensus-document-for-work-on-safety-novel-and-foods-feeds-plants.htm</w:t>
        </w:r>
      </w:hyperlink>
      <w:r w:rsidR="00BD2330" w:rsidRPr="00A81CB6">
        <w:rPr>
          <w:rFonts w:cs="Arial"/>
          <w:noProof/>
          <w:sz w:val="20"/>
          <w:szCs w:val="20"/>
          <w:u w:val="single"/>
        </w:rPr>
        <w:t xml:space="preserve"> </w:t>
      </w:r>
    </w:p>
    <w:p w14:paraId="20D1A9EA" w14:textId="18A711DA" w:rsidR="00662933" w:rsidRPr="00A81CB6" w:rsidRDefault="00662933" w:rsidP="00662933">
      <w:pPr>
        <w:ind w:left="284" w:hanging="284"/>
        <w:rPr>
          <w:rFonts w:cs="Arial"/>
          <w:noProof/>
          <w:sz w:val="20"/>
          <w:szCs w:val="20"/>
          <w:u w:val="single"/>
        </w:rPr>
      </w:pPr>
      <w:r w:rsidRPr="00A81CB6">
        <w:rPr>
          <w:rFonts w:cs="Arial"/>
          <w:noProof/>
          <w:sz w:val="20"/>
          <w:szCs w:val="20"/>
        </w:rPr>
        <w:t xml:space="preserve">OECD (2003) Considerations for the safety assessment of animal feedstuffs derived from genetically modified plants. ENV/JM/MONO(2003)10. Organisation for Economic Co-operation and Development, Paris. </w:t>
      </w:r>
      <w:hyperlink r:id="rId46" w:history="1">
        <w:r w:rsidRPr="00A81CB6">
          <w:rPr>
            <w:rStyle w:val="Hyperlink"/>
            <w:rFonts w:cs="Arial"/>
            <w:noProof/>
            <w:sz w:val="20"/>
            <w:szCs w:val="20"/>
          </w:rPr>
          <w:t>http://www.oecd.org/officialdocuments/displaydocumentpdf?cote=ENV/JM/MONO(2003)10&amp;doclanguage=en</w:t>
        </w:r>
      </w:hyperlink>
    </w:p>
    <w:p w14:paraId="33B7438C" w14:textId="77777777" w:rsidR="00662933" w:rsidRPr="00A81CB6" w:rsidRDefault="00662933" w:rsidP="00662933">
      <w:pPr>
        <w:ind w:left="284" w:hanging="284"/>
        <w:rPr>
          <w:rFonts w:cs="Arial"/>
          <w:noProof/>
          <w:sz w:val="20"/>
          <w:szCs w:val="20"/>
          <w:u w:val="single"/>
        </w:rPr>
      </w:pPr>
    </w:p>
    <w:p w14:paraId="41525176" w14:textId="77777777" w:rsidR="00283E37" w:rsidRDefault="00283E37" w:rsidP="00BD2330">
      <w:pPr>
        <w:spacing w:after="120"/>
        <w:ind w:left="284" w:hanging="284"/>
        <w:rPr>
          <w:rFonts w:cs="Arial"/>
          <w:noProof/>
          <w:sz w:val="20"/>
          <w:szCs w:val="20"/>
        </w:rPr>
      </w:pPr>
      <w:r>
        <w:rPr>
          <w:rFonts w:cs="Arial"/>
          <w:noProof/>
          <w:sz w:val="20"/>
          <w:szCs w:val="20"/>
        </w:rPr>
        <w:br w:type="page"/>
      </w:r>
    </w:p>
    <w:p w14:paraId="41185864" w14:textId="11B7555B" w:rsidR="0033454E" w:rsidRPr="00A81CB6" w:rsidRDefault="0033454E" w:rsidP="00BD2330">
      <w:pPr>
        <w:spacing w:after="120"/>
        <w:ind w:left="284" w:hanging="284"/>
        <w:rPr>
          <w:rFonts w:cs="Arial"/>
          <w:noProof/>
          <w:sz w:val="20"/>
          <w:szCs w:val="20"/>
        </w:rPr>
      </w:pPr>
      <w:r w:rsidRPr="00A81CB6">
        <w:rPr>
          <w:rFonts w:cs="Arial"/>
          <w:noProof/>
          <w:sz w:val="20"/>
          <w:szCs w:val="20"/>
        </w:rPr>
        <w:lastRenderedPageBreak/>
        <w:t>OECD (2011) Revised consensus document on compositional considerations for new varieties of low erucic acid rapeseed (canola): key food and feed nutrients, anti-nutrients and toxicants. ENV/JM/MONO(2011)55. Organization for Economic Co-op</w:t>
      </w:r>
      <w:r w:rsidR="00BD2330" w:rsidRPr="00A81CB6">
        <w:rPr>
          <w:rFonts w:cs="Arial"/>
          <w:noProof/>
          <w:sz w:val="20"/>
          <w:szCs w:val="20"/>
        </w:rPr>
        <w:t xml:space="preserve">eration and Development, Paris. </w:t>
      </w:r>
      <w:hyperlink r:id="rId47" w:history="1">
        <w:r w:rsidR="00BD2330" w:rsidRPr="00A81CB6">
          <w:rPr>
            <w:rStyle w:val="Hyperlink"/>
            <w:rFonts w:cs="Arial"/>
            <w:noProof/>
            <w:sz w:val="20"/>
            <w:szCs w:val="20"/>
          </w:rPr>
          <w:t>http://www.oecd.org/document/22/0,3746,en_2649_34385_46808854_1_1_1_1,00.html</w:t>
        </w:r>
      </w:hyperlink>
      <w:r w:rsidR="00BD2330" w:rsidRPr="00A81CB6">
        <w:rPr>
          <w:rFonts w:cs="Arial"/>
          <w:noProof/>
          <w:sz w:val="20"/>
          <w:szCs w:val="20"/>
          <w:u w:val="single"/>
        </w:rPr>
        <w:t xml:space="preserve"> </w:t>
      </w:r>
    </w:p>
    <w:p w14:paraId="5E03CDB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Orlando R, Yang Y (1998) Analysis of Glycoproteins. Ch 9 In: Larsen BS, McEwen CN (eds) Mass Spectrometry of Biological Materials. 2nd ed, Marcel Dekker, p. 216–246</w:t>
      </w:r>
    </w:p>
    <w:p w14:paraId="52F7DA1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Pearson WR (2000) Flexible sequence similarity searching with the FASTA3 program package. Ch 10 In: Misener S, Krawetz SA (eds) Methods in Molecular Biology, Volume 132: Bioinformatics Methods and Protocols. Human Press Inc., Totowa, NJ, p. 185–219</w:t>
      </w:r>
    </w:p>
    <w:p w14:paraId="0975B04C"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Pearson WR (2013) Selecting the right similarity-scoring matrix. Current Protocols in Bioinformatics 43:3.5.1–3.5.9</w:t>
      </w:r>
    </w:p>
    <w:p w14:paraId="02F8F93A"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Pearson WR, Lipman DJ (1988) Improved tools for biological sequence comparison. Proceedings of the National Academy of Sciences 85(8):2444–2448</w:t>
      </w:r>
    </w:p>
    <w:p w14:paraId="247DE097"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Prescott VA, Campbell PM, Moore A, Mattes J, Rothenberg ME, Foster PS, Higgins TJV, Hogan SP (2005) Transgenic expression of bean a-amylase inhibitor in peas results in altered structure and immunogenicity. J Agric Food Chem 53:9023–9030</w:t>
      </w:r>
    </w:p>
    <w:p w14:paraId="0C1DD56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Priest FG, Goodfellow M, Shute LA, Berkeley RCW (1987) </w:t>
      </w:r>
      <w:r w:rsidRPr="00A81CB6">
        <w:rPr>
          <w:rFonts w:cs="Arial"/>
          <w:i/>
          <w:noProof/>
          <w:sz w:val="20"/>
          <w:szCs w:val="20"/>
        </w:rPr>
        <w:t>Bacillus amyloliquefaciens</w:t>
      </w:r>
      <w:r w:rsidRPr="00A81CB6">
        <w:rPr>
          <w:rFonts w:cs="Arial"/>
          <w:noProof/>
          <w:sz w:val="20"/>
          <w:szCs w:val="20"/>
        </w:rPr>
        <w:t xml:space="preserve"> sp. nov., nom. rev. International Journal of Systematic Bacteriology 37(1):69–71</w:t>
      </w:r>
    </w:p>
    <w:p w14:paraId="6F8FB08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Pritchard FM, Eagles HA, Norton RM, Salisbury PA, Nicolas M (2000) Environmental effects on seed composition of Victorian canola. Australian Journal of Experimental Agriculture 40:679–685</w:t>
      </w:r>
    </w:p>
    <w:p w14:paraId="7673C6B0"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Schabenberger O (2004) Mixed model influence diagnostics. Paper 189-29. Proceedings of the 29th Annual SAS Users Group International Conference (SUGI 2</w:t>
      </w:r>
      <w:r w:rsidR="00BD2330" w:rsidRPr="00A81CB6">
        <w:rPr>
          <w:rFonts w:cs="Arial"/>
          <w:noProof/>
          <w:sz w:val="20"/>
          <w:szCs w:val="20"/>
        </w:rPr>
        <w:t xml:space="preserve">9), May 9 - 12, 2004, Montreal. </w:t>
      </w:r>
      <w:hyperlink r:id="rId48" w:history="1">
        <w:r w:rsidR="00BD2330" w:rsidRPr="00A81CB6">
          <w:rPr>
            <w:rStyle w:val="Hyperlink"/>
            <w:rFonts w:cs="Arial"/>
            <w:noProof/>
            <w:sz w:val="20"/>
            <w:szCs w:val="20"/>
          </w:rPr>
          <w:t>http://www2.sas.com/proceedings/sugi29/189-29.pdf</w:t>
        </w:r>
      </w:hyperlink>
      <w:r w:rsidR="00BD2330" w:rsidRPr="00A81CB6">
        <w:rPr>
          <w:rFonts w:cs="Arial"/>
          <w:noProof/>
          <w:sz w:val="20"/>
          <w:szCs w:val="20"/>
          <w:u w:val="single"/>
        </w:rPr>
        <w:t xml:space="preserve"> </w:t>
      </w:r>
    </w:p>
    <w:p w14:paraId="529A4F30"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Seberry DE, Mailer RJ, Parker PA (2007) Quality of Australian Canola 2006. Volume No.13. Australian Oilseeds Federation, and NSW De</w:t>
      </w:r>
      <w:r w:rsidR="00BD2330" w:rsidRPr="00A81CB6">
        <w:rPr>
          <w:rFonts w:cs="Arial"/>
          <w:noProof/>
          <w:sz w:val="20"/>
          <w:szCs w:val="20"/>
        </w:rPr>
        <w:t xml:space="preserve">partment of Primary Industries. </w:t>
      </w:r>
      <w:hyperlink r:id="rId49" w:history="1">
        <w:r w:rsidR="00BD2330" w:rsidRPr="00A81CB6">
          <w:rPr>
            <w:rStyle w:val="Hyperlink"/>
            <w:rFonts w:cs="Arial"/>
            <w:noProof/>
            <w:sz w:val="20"/>
            <w:szCs w:val="20"/>
          </w:rPr>
          <w:t>http://www.australianoilseeds.com/commodity_groups/canola_association_of_australia/quality_of_australian_canola</w:t>
        </w:r>
      </w:hyperlink>
      <w:r w:rsidR="00BD2330" w:rsidRPr="00A81CB6">
        <w:rPr>
          <w:rFonts w:cs="Arial"/>
          <w:noProof/>
          <w:sz w:val="20"/>
          <w:szCs w:val="20"/>
          <w:u w:val="single"/>
        </w:rPr>
        <w:t xml:space="preserve"> </w:t>
      </w:r>
    </w:p>
    <w:p w14:paraId="5FFF97AB" w14:textId="77777777" w:rsidR="008A2B0B" w:rsidRPr="00A81CB6" w:rsidRDefault="008A2B0B" w:rsidP="008A2B0B">
      <w:pPr>
        <w:tabs>
          <w:tab w:val="left" w:pos="0"/>
        </w:tabs>
        <w:spacing w:after="240"/>
        <w:rPr>
          <w:rFonts w:cs="Arial"/>
          <w:noProof/>
          <w:sz w:val="20"/>
          <w:szCs w:val="20"/>
        </w:rPr>
      </w:pPr>
      <w:r w:rsidRPr="00A81CB6">
        <w:rPr>
          <w:rFonts w:cs="Arial"/>
          <w:noProof/>
          <w:sz w:val="20"/>
          <w:szCs w:val="20"/>
        </w:rPr>
        <w:t>Seurinck J, Truettner J, Goldberg RB (1990) The nucleotide sequence of an anther-specific gene. Nucleic Acids Res 18(11):3403</w:t>
      </w:r>
    </w:p>
    <w:p w14:paraId="04DCCB0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Sherlock O, Dobrindt U, Jensen JB, Munk Vejborg R, Klemm P (2006) Glycosylation of the self-recognizing </w:t>
      </w:r>
      <w:r w:rsidRPr="00A81CB6">
        <w:rPr>
          <w:rFonts w:cs="Arial"/>
          <w:i/>
          <w:noProof/>
          <w:sz w:val="20"/>
          <w:szCs w:val="20"/>
        </w:rPr>
        <w:t>Escherichia col</w:t>
      </w:r>
      <w:r w:rsidRPr="00A81CB6">
        <w:rPr>
          <w:rFonts w:cs="Arial"/>
          <w:noProof/>
          <w:sz w:val="20"/>
          <w:szCs w:val="20"/>
        </w:rPr>
        <w:t>i Ag43 autotransporter protein. Journal of Bacteriology 188(5):1798–1807</w:t>
      </w:r>
    </w:p>
    <w:p w14:paraId="2565257B"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Spragg J, Mailer R (2007) Project Code: 1B-103-0506: Canola Meal Value Chain Quality Improvement. A final report prepared for Australian Oilseeds Federation and Pork Cooperative Research Centre, JCS Solutions Pty Ltd, Victoria,</w:t>
      </w:r>
    </w:p>
    <w:p w14:paraId="345BAF09"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Szmigielska AM, Schoenau JJ, Levers V (2000) Determination of glucosinolates in canola seed using anion exchange membrane extraction combined with the high-pressure liquid chromatography detection. J Agric Food Chem 48:4487–4491</w:t>
      </w:r>
    </w:p>
    <w:p w14:paraId="3C56AD75"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Thomas K, Bannon G, Hefle S, Herouet C, Holsapple M, Ladics G, MacIntosh S, Privalle L (2005) In silico methods for evaluating human allergenicity to novel proteins: International Bioinformatics Workshop Meeting Report February 23 - 24, 2005. Toxicological Sciences 88:307–310</w:t>
      </w:r>
    </w:p>
    <w:p w14:paraId="64493C64"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Thomas K, MacIntosh S, Bannon G, Herouet-Guicheney C, Holsapple M, Ladics G, McClain S, Vieths S, Woolhiser M, Privalle L (2009) Scientific advancement of novel protein allergenicity evaluation: An overview of work from the HESI Protein Allergenicity Technical Committee (2000 - 2008). Food and Chemical Toxicology 47:1041–1050</w:t>
      </w:r>
    </w:p>
    <w:p w14:paraId="689EAED4" w14:textId="16194844" w:rsidR="00283E37" w:rsidRDefault="0033454E" w:rsidP="0033454E">
      <w:pPr>
        <w:spacing w:after="120"/>
        <w:ind w:left="284" w:hanging="284"/>
        <w:rPr>
          <w:rFonts w:cs="Arial"/>
          <w:noProof/>
          <w:sz w:val="20"/>
          <w:szCs w:val="20"/>
        </w:rPr>
      </w:pPr>
      <w:r w:rsidRPr="00A81CB6">
        <w:rPr>
          <w:rFonts w:cs="Arial"/>
          <w:noProof/>
          <w:sz w:val="20"/>
          <w:szCs w:val="20"/>
        </w:rPr>
        <w:t xml:space="preserve">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w:t>
      </w:r>
      <w:r w:rsidRPr="00A81CB6">
        <w:rPr>
          <w:rFonts w:cs="Arial"/>
          <w:i/>
          <w:noProof/>
          <w:sz w:val="20"/>
          <w:szCs w:val="20"/>
        </w:rPr>
        <w:t>in vitro</w:t>
      </w:r>
      <w:r w:rsidRPr="00A81CB6">
        <w:rPr>
          <w:rFonts w:cs="Arial"/>
          <w:noProof/>
          <w:sz w:val="20"/>
          <w:szCs w:val="20"/>
        </w:rPr>
        <w:t xml:space="preserve"> pepsin digestion assay protocol used in assessing the safety of novel proteins. Regulatory Toxicology and Pharmacology 39:87–98</w:t>
      </w:r>
      <w:r w:rsidR="00283E37">
        <w:rPr>
          <w:rFonts w:cs="Arial"/>
          <w:noProof/>
          <w:sz w:val="20"/>
          <w:szCs w:val="20"/>
        </w:rPr>
        <w:br w:type="page"/>
      </w:r>
    </w:p>
    <w:p w14:paraId="2AA5E770"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lastRenderedPageBreak/>
        <w:t xml:space="preserve">Thompson CJ, Movva NR, Tizard R, Crameri R, Davies JE, Lauwereys M, Botterman J (1987) Characterization of the herbicide-resistance gene </w:t>
      </w:r>
      <w:r w:rsidRPr="00A81CB6">
        <w:rPr>
          <w:rFonts w:cs="Arial"/>
          <w:i/>
          <w:noProof/>
          <w:sz w:val="20"/>
          <w:szCs w:val="20"/>
        </w:rPr>
        <w:t>bar</w:t>
      </w:r>
      <w:r w:rsidRPr="00A81CB6">
        <w:rPr>
          <w:rFonts w:cs="Arial"/>
          <w:noProof/>
          <w:sz w:val="20"/>
          <w:szCs w:val="20"/>
        </w:rPr>
        <w:t xml:space="preserve"> from </w:t>
      </w:r>
      <w:r w:rsidRPr="00A81CB6">
        <w:rPr>
          <w:rFonts w:cs="Arial"/>
          <w:i/>
          <w:noProof/>
          <w:sz w:val="20"/>
          <w:szCs w:val="20"/>
        </w:rPr>
        <w:t>Streptomyces hygroscopicus</w:t>
      </w:r>
      <w:r w:rsidRPr="00A81CB6">
        <w:rPr>
          <w:rFonts w:cs="Arial"/>
          <w:noProof/>
          <w:sz w:val="20"/>
          <w:szCs w:val="20"/>
        </w:rPr>
        <w:t>. The EMBO Journal 6:2519–2523</w:t>
      </w:r>
    </w:p>
    <w:p w14:paraId="39AC8729"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 xml:space="preserve">Tzfira T, Li J, Lacroix B, Citosky V (2004) </w:t>
      </w:r>
      <w:r w:rsidRPr="00A81CB6">
        <w:rPr>
          <w:rFonts w:cs="Arial"/>
          <w:i/>
          <w:noProof/>
          <w:sz w:val="20"/>
          <w:szCs w:val="20"/>
        </w:rPr>
        <w:t>Agrobacterium</w:t>
      </w:r>
      <w:r w:rsidRPr="00A81CB6">
        <w:rPr>
          <w:rFonts w:cs="Arial"/>
          <w:noProof/>
          <w:sz w:val="20"/>
          <w:szCs w:val="20"/>
        </w:rPr>
        <w:t xml:space="preserve"> T-DNA integration: molecules and models. Trends in Genetics 20(8):375–383</w:t>
      </w:r>
    </w:p>
    <w:p w14:paraId="2AC9F0B6" w14:textId="22A8C949" w:rsidR="0033454E" w:rsidRPr="00A81CB6" w:rsidRDefault="0033454E" w:rsidP="0033454E">
      <w:pPr>
        <w:spacing w:after="120"/>
        <w:ind w:left="284" w:hanging="284"/>
        <w:rPr>
          <w:rFonts w:cs="Arial"/>
          <w:noProof/>
          <w:sz w:val="20"/>
          <w:szCs w:val="20"/>
        </w:rPr>
      </w:pPr>
      <w:r w:rsidRPr="00A81CB6">
        <w:rPr>
          <w:rFonts w:cs="Arial"/>
          <w:noProof/>
          <w:sz w:val="20"/>
          <w:szCs w:val="20"/>
        </w:rPr>
        <w:t>U</w:t>
      </w:r>
      <w:r w:rsidR="00F97F7B">
        <w:rPr>
          <w:rFonts w:cs="Arial"/>
          <w:noProof/>
          <w:sz w:val="20"/>
          <w:szCs w:val="20"/>
        </w:rPr>
        <w:t>.</w:t>
      </w:r>
      <w:r w:rsidRPr="00A81CB6">
        <w:rPr>
          <w:rFonts w:cs="Arial"/>
          <w:noProof/>
          <w:sz w:val="20"/>
          <w:szCs w:val="20"/>
        </w:rPr>
        <w:t>S</w:t>
      </w:r>
      <w:r w:rsidR="00F97F7B">
        <w:rPr>
          <w:rFonts w:cs="Arial"/>
          <w:noProof/>
          <w:sz w:val="20"/>
          <w:szCs w:val="20"/>
        </w:rPr>
        <w:t>.</w:t>
      </w:r>
      <w:r w:rsidRPr="00A81CB6">
        <w:rPr>
          <w:rFonts w:cs="Arial"/>
          <w:noProof/>
          <w:sz w:val="20"/>
          <w:szCs w:val="20"/>
        </w:rPr>
        <w:t>Pharmacopeia (1990) United States Pharmacopeia, Volume 22.  United States Pharmacopeia Convention, Inc, Rockville, MD</w:t>
      </w:r>
    </w:p>
    <w:p w14:paraId="20242E2A" w14:textId="77777777" w:rsidR="0033454E" w:rsidRPr="00A81CB6" w:rsidRDefault="0033454E" w:rsidP="00BD2330">
      <w:pPr>
        <w:spacing w:after="120"/>
        <w:ind w:left="284" w:hanging="284"/>
        <w:rPr>
          <w:rFonts w:cs="Arial"/>
          <w:noProof/>
          <w:sz w:val="20"/>
          <w:szCs w:val="20"/>
        </w:rPr>
      </w:pPr>
      <w:r w:rsidRPr="00A81CB6">
        <w:rPr>
          <w:rFonts w:cs="Arial"/>
          <w:noProof/>
          <w:sz w:val="20"/>
          <w:szCs w:val="20"/>
        </w:rPr>
        <w:t xml:space="preserve">Van Larebeke N, Engler G, Holsters S, Van Den Elsacker S, Zaenen I, Schilperoort RA, Schell J (1974) Large plasmid in </w:t>
      </w:r>
      <w:r w:rsidRPr="00A81CB6">
        <w:rPr>
          <w:rFonts w:cs="Arial"/>
          <w:i/>
          <w:noProof/>
          <w:sz w:val="20"/>
          <w:szCs w:val="20"/>
        </w:rPr>
        <w:t>Agrobacterium tumefaciens</w:t>
      </w:r>
      <w:r w:rsidRPr="00A81CB6">
        <w:rPr>
          <w:rFonts w:cs="Arial"/>
          <w:noProof/>
          <w:sz w:val="20"/>
          <w:szCs w:val="20"/>
        </w:rPr>
        <w:t xml:space="preserve"> essential for crown gall-inducing ability. Nature 252:169–170.</w:t>
      </w:r>
      <w:r w:rsidR="00BD2330" w:rsidRPr="00A81CB6">
        <w:rPr>
          <w:rFonts w:cs="Arial"/>
          <w:noProof/>
          <w:sz w:val="20"/>
          <w:szCs w:val="20"/>
        </w:rPr>
        <w:t xml:space="preserve"> </w:t>
      </w:r>
      <w:r w:rsidRPr="00A81CB6">
        <w:rPr>
          <w:rFonts w:cs="Arial"/>
          <w:noProof/>
          <w:sz w:val="20"/>
          <w:szCs w:val="20"/>
        </w:rPr>
        <w:t xml:space="preserve">DOI: 10.1038/252169a0 . </w:t>
      </w:r>
    </w:p>
    <w:p w14:paraId="628302F7" w14:textId="68F46DA3" w:rsidR="00012EF3" w:rsidRPr="00A81CB6" w:rsidRDefault="00012EF3" w:rsidP="00012EF3">
      <w:pPr>
        <w:ind w:left="284" w:hanging="284"/>
        <w:rPr>
          <w:rFonts w:cs="Arial"/>
          <w:noProof/>
          <w:sz w:val="20"/>
          <w:szCs w:val="20"/>
        </w:rPr>
      </w:pPr>
      <w:r w:rsidRPr="00A81CB6">
        <w:rPr>
          <w:rFonts w:cs="Arial"/>
          <w:noProof/>
          <w:sz w:val="20"/>
          <w:szCs w:val="20"/>
        </w:rPr>
        <w:t xml:space="preserve">Wang J, Lydiate DJ, Parkin IAP, Falentin C, Delourme R, Carion PWC, King G (2011) Integration of linkage maps for the amphidiploid </w:t>
      </w:r>
      <w:r w:rsidRPr="00A81CB6">
        <w:rPr>
          <w:rFonts w:cs="Arial"/>
          <w:i/>
          <w:noProof/>
          <w:sz w:val="20"/>
          <w:szCs w:val="20"/>
        </w:rPr>
        <w:t>Brassica napus</w:t>
      </w:r>
      <w:r w:rsidRPr="00A81CB6">
        <w:rPr>
          <w:rFonts w:cs="Arial"/>
          <w:noProof/>
          <w:sz w:val="20"/>
          <w:szCs w:val="20"/>
        </w:rPr>
        <w:t xml:space="preserve"> and comparative mapping with </w:t>
      </w:r>
      <w:r w:rsidRPr="00A81CB6">
        <w:rPr>
          <w:rFonts w:cs="Arial"/>
          <w:i/>
          <w:noProof/>
          <w:sz w:val="20"/>
          <w:szCs w:val="20"/>
        </w:rPr>
        <w:t>Arabidopsis</w:t>
      </w:r>
      <w:r w:rsidRPr="00A81CB6">
        <w:rPr>
          <w:rFonts w:cs="Arial"/>
          <w:noProof/>
          <w:sz w:val="20"/>
          <w:szCs w:val="20"/>
        </w:rPr>
        <w:t xml:space="preserve"> and </w:t>
      </w:r>
      <w:r w:rsidRPr="00A81CB6">
        <w:rPr>
          <w:rFonts w:cs="Arial"/>
          <w:i/>
          <w:noProof/>
          <w:sz w:val="20"/>
          <w:szCs w:val="20"/>
        </w:rPr>
        <w:t>Brassica rapa</w:t>
      </w:r>
      <w:r w:rsidRPr="00A81CB6">
        <w:rPr>
          <w:rFonts w:cs="Arial"/>
          <w:noProof/>
          <w:sz w:val="20"/>
          <w:szCs w:val="20"/>
        </w:rPr>
        <w:t>. BMC Genomics 12:101. DOI: 10.1186/1471-2164-12-101</w:t>
      </w:r>
    </w:p>
    <w:p w14:paraId="20E41488" w14:textId="77777777" w:rsidR="00012EF3" w:rsidRPr="00A81CB6" w:rsidRDefault="00012EF3" w:rsidP="00012EF3">
      <w:pPr>
        <w:ind w:left="284" w:hanging="284"/>
        <w:rPr>
          <w:rFonts w:cs="Arial"/>
          <w:noProof/>
          <w:sz w:val="20"/>
          <w:szCs w:val="20"/>
        </w:rPr>
      </w:pPr>
    </w:p>
    <w:p w14:paraId="270BD601" w14:textId="77777777" w:rsidR="0033454E" w:rsidRPr="00A81CB6" w:rsidRDefault="0033454E" w:rsidP="0033454E">
      <w:pPr>
        <w:spacing w:after="120"/>
        <w:ind w:left="284" w:hanging="284"/>
        <w:rPr>
          <w:rFonts w:cs="Arial"/>
          <w:noProof/>
          <w:sz w:val="20"/>
          <w:szCs w:val="20"/>
        </w:rPr>
      </w:pPr>
      <w:r w:rsidRPr="00A81CB6">
        <w:rPr>
          <w:rFonts w:cs="Arial"/>
          <w:noProof/>
          <w:sz w:val="20"/>
          <w:szCs w:val="20"/>
        </w:rPr>
        <w:t>Wang Y, McAllister TA, Pickard MD, Xu Z, Rode LM, Cheng K-J (1999) Effect of micronizing full fat canola seed on amino acid disappearance in the gastrointestinal tract of dairy cows. Journal of Dairy Science 82:537–544</w:t>
      </w:r>
    </w:p>
    <w:p w14:paraId="0C1DA88D" w14:textId="77777777" w:rsidR="00D5526B" w:rsidRPr="00A81CB6" w:rsidRDefault="0033454E" w:rsidP="0033454E">
      <w:pPr>
        <w:spacing w:after="120"/>
        <w:ind w:left="284" w:hanging="284"/>
        <w:rPr>
          <w:rFonts w:cs="Arial"/>
          <w:noProof/>
          <w:sz w:val="20"/>
          <w:szCs w:val="20"/>
        </w:rPr>
      </w:pPr>
      <w:r w:rsidRPr="00A81CB6">
        <w:rPr>
          <w:rFonts w:cs="Arial"/>
          <w:noProof/>
          <w:sz w:val="20"/>
          <w:szCs w:val="20"/>
        </w:rPr>
        <w:t xml:space="preserve">Wehrmann A, Van Vliet A, Opsomer C, Botterman J, Schulz A (1996) The similarities of </w:t>
      </w:r>
      <w:r w:rsidRPr="00A81CB6">
        <w:rPr>
          <w:rFonts w:cs="Arial"/>
          <w:i/>
          <w:noProof/>
          <w:sz w:val="20"/>
          <w:szCs w:val="20"/>
        </w:rPr>
        <w:t>bar</w:t>
      </w:r>
      <w:r w:rsidRPr="00A81CB6">
        <w:rPr>
          <w:rFonts w:cs="Arial"/>
          <w:noProof/>
          <w:sz w:val="20"/>
          <w:szCs w:val="20"/>
        </w:rPr>
        <w:t xml:space="preserve"> and </w:t>
      </w:r>
      <w:r w:rsidRPr="00A81CB6">
        <w:rPr>
          <w:rFonts w:cs="Arial"/>
          <w:i/>
          <w:noProof/>
          <w:sz w:val="20"/>
          <w:szCs w:val="20"/>
        </w:rPr>
        <w:t>pat</w:t>
      </w:r>
      <w:r w:rsidRPr="00A81CB6">
        <w:rPr>
          <w:rFonts w:cs="Arial"/>
          <w:noProof/>
          <w:sz w:val="20"/>
          <w:szCs w:val="20"/>
        </w:rPr>
        <w:t xml:space="preserve"> gene products make them equally applicable for plant engineers. Nature Biotechnology 14:1274–1278</w:t>
      </w:r>
    </w:p>
    <w:sectPr w:rsidR="00D5526B" w:rsidRPr="00A81CB6" w:rsidSect="00A35DB9">
      <w:pgSz w:w="11906" w:h="16838"/>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4B93" w14:textId="77777777" w:rsidR="00A35DB9" w:rsidRDefault="00A35DB9" w:rsidP="0033454E">
      <w:r>
        <w:separator/>
      </w:r>
    </w:p>
  </w:endnote>
  <w:endnote w:type="continuationSeparator" w:id="0">
    <w:p w14:paraId="761FD929" w14:textId="77777777" w:rsidR="00A35DB9" w:rsidRDefault="00A35DB9" w:rsidP="0033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harterBT-Roman">
    <w:panose1 w:val="00000000000000000000"/>
    <w:charset w:val="00"/>
    <w:family w:val="auto"/>
    <w:notTrueType/>
    <w:pitch w:val="default"/>
    <w:sig w:usb0="00000003" w:usb1="00000000" w:usb2="00000000" w:usb3="00000000" w:csb0="00000001" w:csb1="00000000"/>
  </w:font>
  <w:font w:name="CharterBT-Italic">
    <w:panose1 w:val="00000000000000000000"/>
    <w:charset w:val="00"/>
    <w:family w:val="auto"/>
    <w:notTrueType/>
    <w:pitch w:val="default"/>
    <w:sig w:usb0="00000003" w:usb1="00000000" w:usb2="00000000" w:usb3="00000000" w:csb0="00000001" w:csb1="00000000"/>
  </w:font>
  <w:font w:name="FiraSans-Book">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3540" w14:textId="77777777" w:rsidR="00A35DB9" w:rsidRDefault="00A35DB9" w:rsidP="00334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CBBE7" w14:textId="77777777" w:rsidR="00A35DB9" w:rsidRDefault="00A35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8B9C" w14:textId="1F8AC2E2" w:rsidR="00A35DB9" w:rsidRDefault="00A35DB9" w:rsidP="00334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5B9">
      <w:rPr>
        <w:rStyle w:val="PageNumber"/>
        <w:noProof/>
      </w:rPr>
      <w:t>42</w:t>
    </w:r>
    <w:r>
      <w:rPr>
        <w:rStyle w:val="PageNumber"/>
      </w:rPr>
      <w:fldChar w:fldCharType="end"/>
    </w:r>
  </w:p>
  <w:p w14:paraId="3D40B89D" w14:textId="77777777" w:rsidR="00A35DB9" w:rsidRDefault="00A35D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8F8BA" w14:textId="77777777" w:rsidR="00A35DB9" w:rsidRDefault="00A35DB9" w:rsidP="0033454E">
      <w:r>
        <w:separator/>
      </w:r>
    </w:p>
  </w:footnote>
  <w:footnote w:type="continuationSeparator" w:id="0">
    <w:p w14:paraId="571505BC" w14:textId="77777777" w:rsidR="00A35DB9" w:rsidRDefault="00A35DB9" w:rsidP="0033454E">
      <w:r>
        <w:continuationSeparator/>
      </w:r>
    </w:p>
  </w:footnote>
  <w:footnote w:id="1">
    <w:p w14:paraId="7E094538" w14:textId="77777777" w:rsidR="00A35DB9" w:rsidRDefault="00A35DB9" w:rsidP="0033454E">
      <w:pPr>
        <w:pStyle w:val="FootnoteText"/>
      </w:pPr>
      <w:r w:rsidRPr="00AD4317">
        <w:rPr>
          <w:rStyle w:val="FootnoteReference"/>
          <w:sz w:val="18"/>
        </w:rPr>
        <w:footnoteRef/>
      </w:r>
      <w:r w:rsidRPr="00AD4317">
        <w:rPr>
          <w:sz w:val="18"/>
        </w:rPr>
        <w:t xml:space="preserve"> Codex Standard for Named Vegetable Oils (CODEX-STAN 210-1999) - </w:t>
      </w:r>
      <w:hyperlink r:id="rId1" w:history="1">
        <w:r w:rsidRPr="00AD4317">
          <w:rPr>
            <w:rStyle w:val="Hyperlink"/>
            <w:sz w:val="18"/>
          </w:rPr>
          <w:t>http://www.fao.org/docrep/004/y2774e/y2774e04.htm</w:t>
        </w:r>
      </w:hyperlink>
      <w:r w:rsidRPr="00AD4317">
        <w:rPr>
          <w:sz w:val="18"/>
        </w:rPr>
        <w:t xml:space="preserve"> </w:t>
      </w:r>
    </w:p>
  </w:footnote>
  <w:footnote w:id="2">
    <w:p w14:paraId="44B17CD0" w14:textId="77777777" w:rsidR="00A35DB9" w:rsidRPr="00AD4317" w:rsidRDefault="00A35DB9" w:rsidP="0033454E">
      <w:pPr>
        <w:pStyle w:val="FootnoteText"/>
        <w:rPr>
          <w:sz w:val="18"/>
          <w:lang w:val="en-AU"/>
        </w:rPr>
      </w:pPr>
      <w:r w:rsidRPr="00AD4317">
        <w:rPr>
          <w:rStyle w:val="FootnoteReference"/>
          <w:sz w:val="18"/>
        </w:rPr>
        <w:footnoteRef/>
      </w:r>
      <w:r w:rsidRPr="00AD4317">
        <w:rPr>
          <w:sz w:val="18"/>
        </w:rPr>
        <w:t xml:space="preserve"> </w:t>
      </w:r>
      <w:hyperlink r:id="rId2" w:history="1">
        <w:r w:rsidRPr="00AD4317">
          <w:rPr>
            <w:rStyle w:val="Hyperlink"/>
            <w:sz w:val="18"/>
          </w:rPr>
          <w:t>https://grdc.com.au/Media-Centre/Ground-Cover/Ground-Cover-Issue-108-Jan-Feb-2014/Canola-role-for-aquaculture</w:t>
        </w:r>
      </w:hyperlink>
      <w:r w:rsidRPr="00AD4317">
        <w:rPr>
          <w:sz w:val="18"/>
        </w:rPr>
        <w:t xml:space="preserve"> </w:t>
      </w:r>
    </w:p>
  </w:footnote>
  <w:footnote w:id="3">
    <w:p w14:paraId="17AC01D1" w14:textId="1A145E34" w:rsidR="00A35DB9" w:rsidRPr="00E84D1C" w:rsidRDefault="00A35DB9">
      <w:pPr>
        <w:pStyle w:val="FootnoteText"/>
        <w:rPr>
          <w:lang w:val="en-AU"/>
        </w:rPr>
      </w:pPr>
      <w:r w:rsidRPr="00AD4317">
        <w:rPr>
          <w:rStyle w:val="FootnoteReference"/>
          <w:sz w:val="18"/>
        </w:rPr>
        <w:footnoteRef/>
      </w:r>
      <w:r w:rsidRPr="00AD4317">
        <w:rPr>
          <w:sz w:val="18"/>
        </w:rPr>
        <w:t xml:space="preserve"> </w:t>
      </w:r>
      <w:hyperlink r:id="rId3" w:history="1">
        <w:r w:rsidRPr="00AD4317">
          <w:rPr>
            <w:rStyle w:val="Hyperlink"/>
            <w:sz w:val="18"/>
            <w:lang w:val="en-AU"/>
          </w:rPr>
          <w:t>https://www.legislation.gov.au/Series/F2015L00452</w:t>
        </w:r>
      </w:hyperlink>
      <w:r w:rsidRPr="00AD4317">
        <w:rPr>
          <w:sz w:val="18"/>
          <w:lang w:val="en-AU"/>
        </w:rPr>
        <w:t xml:space="preserve"> </w:t>
      </w:r>
    </w:p>
  </w:footnote>
  <w:footnote w:id="4">
    <w:p w14:paraId="680E20FC" w14:textId="77777777" w:rsidR="00A35DB9" w:rsidRPr="00AD4317" w:rsidRDefault="00A35DB9">
      <w:pPr>
        <w:pStyle w:val="FootnoteText"/>
        <w:rPr>
          <w:sz w:val="18"/>
          <w:lang w:val="en-AU"/>
        </w:rPr>
      </w:pPr>
      <w:r w:rsidRPr="00AD4317">
        <w:rPr>
          <w:rStyle w:val="FootnoteReference"/>
          <w:sz w:val="18"/>
        </w:rPr>
        <w:footnoteRef/>
      </w:r>
      <w:r w:rsidRPr="00AD4317">
        <w:rPr>
          <w:sz w:val="18"/>
        </w:rPr>
        <w:t xml:space="preserve"> </w:t>
      </w:r>
      <w:r w:rsidRPr="00AD4317">
        <w:rPr>
          <w:sz w:val="18"/>
          <w:lang w:val="en-AU"/>
        </w:rPr>
        <w:t xml:space="preserve">DNAVision - </w:t>
      </w:r>
      <w:hyperlink r:id="rId4" w:history="1">
        <w:r w:rsidRPr="00AD4317">
          <w:rPr>
            <w:rStyle w:val="Hyperlink"/>
            <w:sz w:val="18"/>
            <w:lang w:val="en-AU"/>
          </w:rPr>
          <w:t>http://www.dnavision.com/</w:t>
        </w:r>
      </w:hyperlink>
      <w:r w:rsidRPr="00AD4317">
        <w:rPr>
          <w:sz w:val="18"/>
          <w:lang w:val="en-AU"/>
        </w:rPr>
        <w:t xml:space="preserve"> </w:t>
      </w:r>
    </w:p>
  </w:footnote>
  <w:footnote w:id="5">
    <w:p w14:paraId="01145332" w14:textId="1C402D92" w:rsidR="00A35DB9" w:rsidRPr="009B7A0C" w:rsidRDefault="00A35DB9">
      <w:pPr>
        <w:pStyle w:val="FootnoteText"/>
        <w:rPr>
          <w:lang w:val="en-AU"/>
        </w:rPr>
      </w:pPr>
      <w:r w:rsidRPr="00AD4317">
        <w:rPr>
          <w:rStyle w:val="FootnoteReference"/>
          <w:sz w:val="18"/>
        </w:rPr>
        <w:footnoteRef/>
      </w:r>
      <w:r w:rsidRPr="00AD4317">
        <w:rPr>
          <w:sz w:val="18"/>
        </w:rPr>
        <w:t xml:space="preserve"> </w:t>
      </w:r>
      <w:r w:rsidRPr="00AD4317">
        <w:rPr>
          <w:sz w:val="18"/>
          <w:lang w:val="en-AU"/>
        </w:rPr>
        <w:t xml:space="preserve">Sci-Ed Clone Manager software </w:t>
      </w:r>
      <w:r>
        <w:rPr>
          <w:sz w:val="18"/>
          <w:lang w:val="en-AU"/>
        </w:rPr>
        <w:t>–</w:t>
      </w:r>
      <w:r w:rsidRPr="00AD4317">
        <w:rPr>
          <w:sz w:val="18"/>
          <w:lang w:val="en-AU"/>
        </w:rPr>
        <w:t xml:space="preserve"> </w:t>
      </w:r>
      <w:hyperlink r:id="rId5" w:history="1">
        <w:r w:rsidRPr="00AD4317">
          <w:rPr>
            <w:rStyle w:val="Hyperlink"/>
            <w:sz w:val="18"/>
            <w:lang w:val="en-AU"/>
          </w:rPr>
          <w:t>http://www.scied.com/pr_cmpro.htm</w:t>
        </w:r>
      </w:hyperlink>
      <w:r w:rsidRPr="00AD4317">
        <w:rPr>
          <w:sz w:val="18"/>
          <w:lang w:val="en-AU"/>
        </w:rPr>
        <w:t xml:space="preserve"> </w:t>
      </w:r>
    </w:p>
  </w:footnote>
  <w:footnote w:id="6">
    <w:p w14:paraId="03C84B02" w14:textId="77777777" w:rsidR="00A35DB9" w:rsidRPr="00AD4317" w:rsidRDefault="00A35DB9">
      <w:pPr>
        <w:pStyle w:val="FootnoteText"/>
        <w:rPr>
          <w:rFonts w:cs="Arial"/>
          <w:sz w:val="18"/>
          <w:lang w:val="en-AU"/>
        </w:rPr>
      </w:pPr>
      <w:r w:rsidRPr="00AD4317">
        <w:rPr>
          <w:rStyle w:val="FootnoteReference"/>
          <w:rFonts w:cs="Arial"/>
          <w:sz w:val="18"/>
        </w:rPr>
        <w:footnoteRef/>
      </w:r>
      <w:r w:rsidRPr="00AD4317">
        <w:rPr>
          <w:rFonts w:cs="Arial"/>
          <w:sz w:val="18"/>
        </w:rPr>
        <w:t xml:space="preserve"> </w:t>
      </w:r>
      <w:r w:rsidRPr="00AD4317">
        <w:rPr>
          <w:rFonts w:cs="Arial"/>
          <w:sz w:val="18"/>
          <w:lang w:val="en-AU"/>
        </w:rPr>
        <w:t xml:space="preserve">BigDye Sequencing Kit </w:t>
      </w:r>
      <w:hyperlink r:id="rId6" w:history="1">
        <w:r w:rsidRPr="00AD4317">
          <w:rPr>
            <w:rStyle w:val="Hyperlink"/>
            <w:rFonts w:cs="Arial"/>
            <w:sz w:val="18"/>
            <w:lang w:val="en-AU"/>
          </w:rPr>
          <w:t>https://www.thermofisher.com/order/catalog/product/4337455</w:t>
        </w:r>
      </w:hyperlink>
      <w:r w:rsidRPr="00AD4317">
        <w:rPr>
          <w:rFonts w:cs="Arial"/>
          <w:sz w:val="18"/>
          <w:lang w:val="en-AU"/>
        </w:rPr>
        <w:t xml:space="preserve"> </w:t>
      </w:r>
    </w:p>
  </w:footnote>
  <w:footnote w:id="7">
    <w:p w14:paraId="35F234CA" w14:textId="77777777" w:rsidR="00A35DB9" w:rsidRPr="00AD4317" w:rsidRDefault="00A35DB9" w:rsidP="0033454E">
      <w:pPr>
        <w:pStyle w:val="FootnoteText"/>
        <w:rPr>
          <w:sz w:val="18"/>
          <w:lang w:val="en-AU"/>
        </w:rPr>
      </w:pPr>
      <w:r w:rsidRPr="00AD4317">
        <w:rPr>
          <w:rStyle w:val="FootnoteReference"/>
          <w:sz w:val="18"/>
        </w:rPr>
        <w:footnoteRef/>
      </w:r>
      <w:r w:rsidRPr="00AD4317">
        <w:rPr>
          <w:sz w:val="18"/>
        </w:rPr>
        <w:t xml:space="preserve"> </w:t>
      </w:r>
      <w:r w:rsidRPr="00AD4317">
        <w:rPr>
          <w:sz w:val="18"/>
          <w:lang w:val="en-AU"/>
        </w:rPr>
        <w:t xml:space="preserve">BLAST - </w:t>
      </w:r>
      <w:hyperlink r:id="rId7" w:history="1">
        <w:r w:rsidRPr="00AD4317">
          <w:rPr>
            <w:rStyle w:val="Hyperlink"/>
            <w:sz w:val="18"/>
            <w:lang w:val="en-AU"/>
          </w:rPr>
          <w:t>https://blast.ncbi.nlm.nih.gov/Blast.cgi</w:t>
        </w:r>
      </w:hyperlink>
      <w:r w:rsidRPr="00AD4317">
        <w:rPr>
          <w:sz w:val="18"/>
          <w:lang w:val="en-AU"/>
        </w:rPr>
        <w:t xml:space="preserve"> </w:t>
      </w:r>
    </w:p>
  </w:footnote>
  <w:footnote w:id="8">
    <w:p w14:paraId="27DFFD0B" w14:textId="77777777" w:rsidR="00A35DB9" w:rsidRPr="00AD4317" w:rsidRDefault="00A35DB9">
      <w:pPr>
        <w:pStyle w:val="FootnoteText"/>
        <w:rPr>
          <w:sz w:val="18"/>
          <w:lang w:val="en-AU"/>
        </w:rPr>
      </w:pPr>
      <w:r w:rsidRPr="00AD4317">
        <w:rPr>
          <w:rStyle w:val="FootnoteReference"/>
          <w:sz w:val="18"/>
        </w:rPr>
        <w:footnoteRef/>
      </w:r>
      <w:r w:rsidRPr="00AD4317">
        <w:rPr>
          <w:sz w:val="18"/>
        </w:rPr>
        <w:t xml:space="preserve"> </w:t>
      </w:r>
      <w:r w:rsidRPr="00AD4317">
        <w:rPr>
          <w:sz w:val="18"/>
          <w:lang w:val="en-AU"/>
        </w:rPr>
        <w:t xml:space="preserve">NCBI - </w:t>
      </w:r>
      <w:hyperlink r:id="rId8" w:history="1">
        <w:r w:rsidRPr="00AD4317">
          <w:rPr>
            <w:rStyle w:val="Hyperlink"/>
            <w:sz w:val="18"/>
            <w:lang w:val="en-AU"/>
          </w:rPr>
          <w:t>https://www.ncbi.nlm.nih.gov/</w:t>
        </w:r>
      </w:hyperlink>
      <w:r w:rsidRPr="00AD4317">
        <w:rPr>
          <w:sz w:val="18"/>
          <w:lang w:val="en-AU"/>
        </w:rPr>
        <w:t xml:space="preserve"> </w:t>
      </w:r>
    </w:p>
  </w:footnote>
  <w:footnote w:id="9">
    <w:p w14:paraId="56FB4E16" w14:textId="77777777" w:rsidR="00A35DB9" w:rsidRPr="00AD4317" w:rsidRDefault="00A35DB9" w:rsidP="00AD4317">
      <w:pPr>
        <w:pStyle w:val="Footnote"/>
        <w:rPr>
          <w:lang w:eastAsia="en-GB" w:bidi="ar-SA"/>
        </w:rPr>
      </w:pPr>
      <w:r w:rsidRPr="00AD4317">
        <w:rPr>
          <w:rStyle w:val="FootnoteReference"/>
          <w:rFonts w:cs="Arial"/>
        </w:rPr>
        <w:footnoteRef/>
      </w:r>
      <w:r w:rsidRPr="00AD4317">
        <w:t xml:space="preserve"> </w:t>
      </w:r>
      <w:r w:rsidRPr="00AD4317">
        <w:rPr>
          <w:lang w:eastAsia="en-GB" w:bidi="ar-SA"/>
        </w:rPr>
        <w:t>BLAT (BLAST-like alignment tool) is a pairwise sequence alignment algorithm that is designed to quickly find sequences with at least 95% similarity and with a length of at least 40 bases.</w:t>
      </w:r>
    </w:p>
  </w:footnote>
  <w:footnote w:id="10">
    <w:p w14:paraId="01EF7996" w14:textId="77777777" w:rsidR="00A35DB9" w:rsidRPr="00AD4317" w:rsidRDefault="00A35DB9">
      <w:pPr>
        <w:pStyle w:val="FootnoteText"/>
        <w:rPr>
          <w:sz w:val="18"/>
          <w:lang w:val="en-AU"/>
        </w:rPr>
      </w:pPr>
      <w:r w:rsidRPr="00AD4317">
        <w:rPr>
          <w:rStyle w:val="FootnoteReference"/>
          <w:rFonts w:cs="Arial"/>
          <w:sz w:val="18"/>
        </w:rPr>
        <w:footnoteRef/>
      </w:r>
      <w:r w:rsidRPr="00AD4317">
        <w:rPr>
          <w:rFonts w:cs="Arial"/>
          <w:sz w:val="18"/>
        </w:rPr>
        <w:t xml:space="preserve"> </w:t>
      </w:r>
      <w:r w:rsidRPr="00AD4317">
        <w:rPr>
          <w:rFonts w:cs="Arial"/>
          <w:sz w:val="18"/>
          <w:lang w:val="en-AU"/>
        </w:rPr>
        <w:t xml:space="preserve">Genoscope Centre National de Sequençage - </w:t>
      </w:r>
      <w:hyperlink r:id="rId9" w:history="1">
        <w:r w:rsidRPr="00AD4317">
          <w:rPr>
            <w:rStyle w:val="Hyperlink"/>
            <w:rFonts w:cs="Arial"/>
            <w:sz w:val="18"/>
            <w:lang w:val="en-AU"/>
          </w:rPr>
          <w:t>http://www.genoscope.cns.fr/spip/spip.php?lang=en</w:t>
        </w:r>
      </w:hyperlink>
      <w:r w:rsidRPr="00AD4317">
        <w:rPr>
          <w:sz w:val="18"/>
          <w:lang w:val="en-AU"/>
        </w:rPr>
        <w:t xml:space="preserve"> </w:t>
      </w:r>
    </w:p>
  </w:footnote>
  <w:footnote w:id="11">
    <w:p w14:paraId="4CF23806" w14:textId="19069D16" w:rsidR="00A35DB9" w:rsidRPr="00AD4317" w:rsidRDefault="00A35DB9" w:rsidP="00012EF3">
      <w:pPr>
        <w:pStyle w:val="FootnoteText"/>
        <w:rPr>
          <w:sz w:val="18"/>
          <w:lang w:val="en-AU"/>
        </w:rPr>
      </w:pPr>
      <w:r w:rsidRPr="00AD4317">
        <w:rPr>
          <w:rStyle w:val="FootnoteReference"/>
          <w:sz w:val="18"/>
        </w:rPr>
        <w:footnoteRef/>
      </w:r>
      <w:r w:rsidRPr="00AD4317">
        <w:rPr>
          <w:sz w:val="18"/>
        </w:rPr>
        <w:t xml:space="preserve"> </w:t>
      </w:r>
      <w:r w:rsidRPr="00AD4317">
        <w:rPr>
          <w:i/>
          <w:sz w:val="18"/>
          <w:lang w:val="en-AU"/>
        </w:rPr>
        <w:t>B. napus</w:t>
      </w:r>
      <w:r w:rsidRPr="00AD4317">
        <w:rPr>
          <w:sz w:val="18"/>
          <w:lang w:val="en-AU"/>
        </w:rPr>
        <w:t xml:space="preserve"> is an amphidiploid derived from a hybridisation event between </w:t>
      </w:r>
      <w:r w:rsidRPr="00AD4317">
        <w:rPr>
          <w:i/>
          <w:sz w:val="18"/>
          <w:lang w:val="en-AU"/>
        </w:rPr>
        <w:t>B. rapa</w:t>
      </w:r>
      <w:r w:rsidRPr="00AD4317">
        <w:rPr>
          <w:sz w:val="18"/>
          <w:lang w:val="en-AU"/>
        </w:rPr>
        <w:t xml:space="preserve"> (A. genome, with 10 chromosomes) and </w:t>
      </w:r>
      <w:r w:rsidRPr="00AD4317">
        <w:rPr>
          <w:i/>
          <w:sz w:val="18"/>
          <w:lang w:val="en-AU"/>
        </w:rPr>
        <w:t>B. oleracea</w:t>
      </w:r>
      <w:r w:rsidRPr="00AD4317">
        <w:rPr>
          <w:sz w:val="18"/>
          <w:lang w:val="en-AU"/>
        </w:rPr>
        <w:t xml:space="preserve"> (C genome, with 9 chromosomes).</w:t>
      </w:r>
    </w:p>
  </w:footnote>
  <w:footnote w:id="12">
    <w:p w14:paraId="5B182FEE" w14:textId="77777777" w:rsidR="00A35DB9" w:rsidRPr="00773BED" w:rsidRDefault="00A35DB9">
      <w:pPr>
        <w:pStyle w:val="FootnoteText"/>
        <w:rPr>
          <w:lang w:val="en-AU"/>
        </w:rPr>
      </w:pPr>
      <w:r w:rsidRPr="00AD4317">
        <w:rPr>
          <w:rStyle w:val="FootnoteReference"/>
          <w:sz w:val="18"/>
        </w:rPr>
        <w:footnoteRef/>
      </w:r>
      <w:r w:rsidRPr="00AD4317">
        <w:rPr>
          <w:sz w:val="18"/>
        </w:rPr>
        <w:t xml:space="preserve"> </w:t>
      </w:r>
      <w:r w:rsidRPr="00AD4317">
        <w:rPr>
          <w:sz w:val="18"/>
          <w:lang w:val="en-AU"/>
        </w:rPr>
        <w:t xml:space="preserve">EMBOSS - </w:t>
      </w:r>
      <w:hyperlink r:id="rId10" w:history="1">
        <w:r w:rsidRPr="00AD4317">
          <w:rPr>
            <w:rStyle w:val="Hyperlink"/>
            <w:sz w:val="18"/>
            <w:lang w:val="en-AU"/>
          </w:rPr>
          <w:t>http://emboss.sourceforge.net/</w:t>
        </w:r>
      </w:hyperlink>
      <w:r w:rsidRPr="00AD4317">
        <w:rPr>
          <w:sz w:val="18"/>
          <w:lang w:val="en-AU"/>
        </w:rPr>
        <w:t xml:space="preserve"> </w:t>
      </w:r>
    </w:p>
  </w:footnote>
  <w:footnote w:id="13">
    <w:p w14:paraId="49F39F65" w14:textId="59B2C9D6" w:rsidR="00A35DB9" w:rsidRPr="00AD4317" w:rsidRDefault="00A35DB9">
      <w:pPr>
        <w:pStyle w:val="FootnoteText"/>
        <w:rPr>
          <w:sz w:val="18"/>
          <w:szCs w:val="18"/>
          <w:lang w:val="en-AU"/>
        </w:rPr>
      </w:pPr>
      <w:r w:rsidRPr="00AD4317">
        <w:rPr>
          <w:rStyle w:val="FootnoteReference"/>
          <w:sz w:val="18"/>
          <w:szCs w:val="18"/>
        </w:rPr>
        <w:footnoteRef/>
      </w:r>
      <w:r w:rsidRPr="00AD4317">
        <w:rPr>
          <w:sz w:val="18"/>
          <w:szCs w:val="18"/>
        </w:rPr>
        <w:t xml:space="preserve"> </w:t>
      </w:r>
      <w:r w:rsidRPr="00AD4317">
        <w:rPr>
          <w:sz w:val="18"/>
          <w:szCs w:val="18"/>
          <w:lang w:val="en-AU"/>
        </w:rPr>
        <w:t>Norfolk Treherne – Manitoba, Canada; La Vall</w:t>
      </w:r>
      <w:r w:rsidRPr="00AD4317">
        <w:rPr>
          <w:rFonts w:cs="Arial"/>
          <w:sz w:val="18"/>
          <w:szCs w:val="18"/>
          <w:lang w:val="en-AU"/>
        </w:rPr>
        <w:t>é</w:t>
      </w:r>
      <w:r w:rsidRPr="00AD4317">
        <w:rPr>
          <w:sz w:val="18"/>
          <w:szCs w:val="18"/>
          <w:lang w:val="en-AU"/>
        </w:rPr>
        <w:t xml:space="preserve">e-du-Richelieu – Quebec, Canada; Grant, Washington, </w:t>
      </w:r>
      <w:r w:rsidR="00F97F7B">
        <w:rPr>
          <w:sz w:val="18"/>
          <w:szCs w:val="18"/>
          <w:lang w:val="en-AU"/>
        </w:rPr>
        <w:t>USA</w:t>
      </w:r>
      <w:r w:rsidRPr="00AD4317">
        <w:rPr>
          <w:sz w:val="18"/>
          <w:szCs w:val="18"/>
          <w:lang w:val="en-AU"/>
        </w:rPr>
        <w:t>.</w:t>
      </w:r>
    </w:p>
  </w:footnote>
  <w:footnote w:id="14">
    <w:p w14:paraId="2236BFAF" w14:textId="77777777" w:rsidR="00A35DB9" w:rsidRPr="00814B4C" w:rsidRDefault="00A35DB9">
      <w:pPr>
        <w:pStyle w:val="FootnoteText"/>
        <w:rPr>
          <w:lang w:val="en-AU"/>
        </w:rPr>
      </w:pPr>
      <w:r w:rsidRPr="00AD4317">
        <w:rPr>
          <w:rStyle w:val="FootnoteReference"/>
          <w:sz w:val="18"/>
          <w:szCs w:val="18"/>
        </w:rPr>
        <w:footnoteRef/>
      </w:r>
      <w:r w:rsidRPr="00AD4317">
        <w:rPr>
          <w:sz w:val="18"/>
          <w:szCs w:val="18"/>
        </w:rPr>
        <w:t xml:space="preserve"> </w:t>
      </w:r>
      <w:r w:rsidRPr="00E5589F">
        <w:rPr>
          <w:rFonts w:cs="Arial"/>
          <w:color w:val="000000" w:themeColor="text1"/>
          <w:sz w:val="18"/>
          <w:szCs w:val="18"/>
        </w:rPr>
        <w:t xml:space="preserve">The canola growth stages are based on the Bayer, BASF, Ciba-Geigy and Hoechst (BBCH) Growth Stage Scale see e.g. CCC </w:t>
      </w:r>
      <w:r w:rsidRPr="00E5589F">
        <w:rPr>
          <w:rFonts w:cs="Arial"/>
          <w:noProof/>
          <w:color w:val="000000" w:themeColor="text1"/>
          <w:sz w:val="18"/>
          <w:szCs w:val="18"/>
        </w:rPr>
        <w:t>(2014)</w:t>
      </w:r>
    </w:p>
  </w:footnote>
  <w:footnote w:id="15">
    <w:p w14:paraId="296455D2" w14:textId="77777777" w:rsidR="00A35DB9" w:rsidRPr="001E4C6F" w:rsidRDefault="00A35DB9">
      <w:pPr>
        <w:pStyle w:val="FootnoteText"/>
        <w:rPr>
          <w:sz w:val="18"/>
          <w:szCs w:val="18"/>
          <w:lang w:val="en-AU"/>
        </w:rPr>
      </w:pPr>
      <w:r w:rsidRPr="001E4C6F">
        <w:rPr>
          <w:rStyle w:val="FootnoteReference"/>
          <w:sz w:val="18"/>
          <w:szCs w:val="18"/>
        </w:rPr>
        <w:footnoteRef/>
      </w:r>
      <w:r w:rsidRPr="001E4C6F">
        <w:rPr>
          <w:sz w:val="18"/>
          <w:szCs w:val="18"/>
        </w:rPr>
        <w:t xml:space="preserve"> </w:t>
      </w:r>
      <w:r w:rsidRPr="00E5589F">
        <w:rPr>
          <w:rFonts w:cs="Arial"/>
          <w:sz w:val="18"/>
          <w:szCs w:val="18"/>
        </w:rPr>
        <w:t xml:space="preserve">The BLOSUM series of matrices tabulate the frequency with which different substitutions occur in conserved blocks of protein sequences and are effective in identifying distant relationships.  BLOSOM50 is the default for the FASTA programmes </w:t>
      </w:r>
      <w:r w:rsidRPr="00E5589F">
        <w:rPr>
          <w:rFonts w:cs="Arial"/>
          <w:noProof/>
          <w:sz w:val="18"/>
          <w:szCs w:val="18"/>
        </w:rPr>
        <w:t>(Pearson 2013)</w:t>
      </w:r>
      <w:r w:rsidRPr="00E5589F">
        <w:rPr>
          <w:rFonts w:cs="Arial"/>
          <w:sz w:val="18"/>
          <w:szCs w:val="18"/>
        </w:rPr>
        <w:t>.</w:t>
      </w:r>
    </w:p>
  </w:footnote>
  <w:footnote w:id="16">
    <w:p w14:paraId="093D2A71" w14:textId="77777777" w:rsidR="00A35DB9" w:rsidRPr="001D5399" w:rsidRDefault="00A35DB9">
      <w:pPr>
        <w:pStyle w:val="FootnoteText"/>
        <w:rPr>
          <w:lang w:val="en-AU"/>
        </w:rPr>
      </w:pPr>
      <w:r w:rsidRPr="001E4C6F">
        <w:rPr>
          <w:rStyle w:val="FootnoteReference"/>
          <w:sz w:val="18"/>
          <w:szCs w:val="18"/>
        </w:rPr>
        <w:footnoteRef/>
      </w:r>
      <w:r w:rsidRPr="001E4C6F">
        <w:rPr>
          <w:sz w:val="18"/>
          <w:szCs w:val="18"/>
        </w:rPr>
        <w:t xml:space="preserve"> </w:t>
      </w:r>
      <w:r w:rsidRPr="001E4C6F">
        <w:rPr>
          <w:sz w:val="18"/>
          <w:szCs w:val="18"/>
          <w:lang w:val="en-AU"/>
        </w:rPr>
        <w:t xml:space="preserve">The Statistics of Sequence Similarity Scores - </w:t>
      </w:r>
      <w:hyperlink r:id="rId11" w:history="1">
        <w:r w:rsidRPr="001E4C6F">
          <w:rPr>
            <w:rStyle w:val="Hyperlink"/>
            <w:sz w:val="18"/>
            <w:szCs w:val="18"/>
            <w:lang w:val="en-AU"/>
          </w:rPr>
          <w:t>https://www.ncbi.nlm.nih.gov/BLAST/tutorial/Altschul-1.html</w:t>
        </w:r>
      </w:hyperlink>
      <w:r w:rsidRPr="001E4C6F">
        <w:rPr>
          <w:sz w:val="18"/>
          <w:szCs w:val="18"/>
          <w:lang w:val="en-AU"/>
        </w:rPr>
        <w:t xml:space="preserve"> </w:t>
      </w:r>
    </w:p>
  </w:footnote>
  <w:footnote w:id="17">
    <w:p w14:paraId="0A91D9AA" w14:textId="77777777" w:rsidR="00A35DB9" w:rsidRPr="00797A3B" w:rsidRDefault="00A35DB9">
      <w:pPr>
        <w:pStyle w:val="FootnoteText"/>
        <w:rPr>
          <w:lang w:val="en-AU"/>
        </w:rPr>
      </w:pPr>
      <w:r w:rsidRPr="001E4C6F">
        <w:rPr>
          <w:rStyle w:val="FootnoteReference"/>
          <w:sz w:val="18"/>
        </w:rPr>
        <w:footnoteRef/>
      </w:r>
      <w:r w:rsidRPr="001E4C6F">
        <w:rPr>
          <w:sz w:val="18"/>
        </w:rPr>
        <w:t xml:space="preserve"> </w:t>
      </w:r>
      <w:r w:rsidRPr="001E4C6F">
        <w:rPr>
          <w:sz w:val="18"/>
          <w:lang w:val="en-AU"/>
        </w:rPr>
        <w:t xml:space="preserve">AllergenOnline - </w:t>
      </w:r>
      <w:hyperlink r:id="rId12" w:history="1">
        <w:r w:rsidRPr="001E4C6F">
          <w:rPr>
            <w:rStyle w:val="Hyperlink"/>
            <w:sz w:val="18"/>
            <w:lang w:val="en-AU"/>
          </w:rPr>
          <w:t>http://www.allergenonline.org/</w:t>
        </w:r>
      </w:hyperlink>
      <w:r w:rsidRPr="001E4C6F">
        <w:rPr>
          <w:sz w:val="18"/>
          <w:lang w:val="en-AU"/>
        </w:rPr>
        <w:t xml:space="preserve"> </w:t>
      </w:r>
    </w:p>
  </w:footnote>
  <w:footnote w:id="18">
    <w:p w14:paraId="77EE377D" w14:textId="6F601171" w:rsidR="00A35DB9" w:rsidRPr="00856B41" w:rsidRDefault="00A35DB9">
      <w:pPr>
        <w:pStyle w:val="FootnoteText"/>
        <w:rPr>
          <w:lang w:val="en-AU"/>
        </w:rPr>
      </w:pPr>
      <w:r w:rsidRPr="001E4C6F">
        <w:rPr>
          <w:rStyle w:val="FootnoteReference"/>
          <w:sz w:val="18"/>
        </w:rPr>
        <w:footnoteRef/>
      </w:r>
      <w:r w:rsidRPr="001E4C6F">
        <w:rPr>
          <w:sz w:val="18"/>
        </w:rPr>
        <w:t xml:space="preserve"> </w:t>
      </w:r>
      <w:hyperlink r:id="rId13" w:history="1">
        <w:r w:rsidRPr="001E4C6F">
          <w:rPr>
            <w:rStyle w:val="Hyperlink"/>
            <w:sz w:val="18"/>
            <w:lang w:val="en-AU"/>
          </w:rPr>
          <w:t>http://www.foodstandards.gov.au/consumer/chemicals/maxresidue/Pages/default.aspx</w:t>
        </w:r>
      </w:hyperlink>
      <w:r w:rsidRPr="001E4C6F">
        <w:rPr>
          <w:sz w:val="18"/>
          <w:lang w:val="en-AU"/>
        </w:rPr>
        <w:t xml:space="preserve"> </w:t>
      </w:r>
    </w:p>
  </w:footnote>
  <w:footnote w:id="19">
    <w:p w14:paraId="18581378" w14:textId="0EF92327" w:rsidR="00A35DB9" w:rsidRPr="001E4C6F" w:rsidRDefault="00A35DB9">
      <w:pPr>
        <w:pStyle w:val="FootnoteText"/>
        <w:rPr>
          <w:sz w:val="18"/>
          <w:lang w:val="en-AU"/>
        </w:rPr>
      </w:pPr>
      <w:r w:rsidRPr="001E4C6F">
        <w:rPr>
          <w:rStyle w:val="FootnoteReference"/>
          <w:sz w:val="18"/>
        </w:rPr>
        <w:footnoteRef/>
      </w:r>
      <w:r w:rsidRPr="001E4C6F">
        <w:rPr>
          <w:sz w:val="18"/>
        </w:rPr>
        <w:t xml:space="preserve"> Hoodoo – Saskatchewan, Canada; Sturgeon - Alberta, Canada; North Norfolk – Manitoba, Canada; MacDonald – Manitoba, Canada; Whitewater – Manitoba, Canada; Corman Park – Saskatchewan, Canada; Grand Forks – North Dakota, </w:t>
      </w:r>
      <w:r w:rsidR="00F97F7B">
        <w:rPr>
          <w:sz w:val="18"/>
        </w:rPr>
        <w:t>USA</w:t>
      </w:r>
      <w:r w:rsidRPr="001E4C6F">
        <w:rPr>
          <w:sz w:val="18"/>
        </w:rPr>
        <w:t xml:space="preserve">; Case – North Dakota, </w:t>
      </w:r>
      <w:r w:rsidR="00F97F7B">
        <w:rPr>
          <w:sz w:val="18"/>
        </w:rPr>
        <w:t>USA</w:t>
      </w:r>
      <w:r w:rsidRPr="001E4C6F">
        <w:rPr>
          <w:sz w:val="18"/>
        </w:rPr>
        <w:t xml:space="preserve">; Jerome, Idaho, </w:t>
      </w:r>
      <w:r w:rsidR="00F97F7B">
        <w:rPr>
          <w:sz w:val="18"/>
        </w:rPr>
        <w:t>USA</w:t>
      </w:r>
      <w:r w:rsidRPr="001E4C6F">
        <w:rPr>
          <w:sz w:val="18"/>
        </w:rPr>
        <w:t xml:space="preserve">; Grant – Washington, </w:t>
      </w:r>
      <w:r w:rsidR="00F97F7B">
        <w:rPr>
          <w:sz w:val="18"/>
        </w:rPr>
        <w:t>USA</w:t>
      </w:r>
    </w:p>
  </w:footnote>
  <w:footnote w:id="20">
    <w:p w14:paraId="05EFABBA" w14:textId="77777777" w:rsidR="00A35DB9" w:rsidRPr="00DA794B" w:rsidRDefault="00A35DB9" w:rsidP="0033454E">
      <w:pPr>
        <w:pStyle w:val="FootnoteText"/>
        <w:rPr>
          <w:lang w:val="en-AU"/>
        </w:rPr>
      </w:pPr>
      <w:r w:rsidRPr="001E4C6F">
        <w:rPr>
          <w:rStyle w:val="FootnoteReference"/>
          <w:sz w:val="18"/>
        </w:rPr>
        <w:footnoteRef/>
      </w:r>
      <w:r w:rsidRPr="001E4C6F">
        <w:rPr>
          <w:sz w:val="18"/>
        </w:rPr>
        <w:t xml:space="preserve"> Reference lines - 46A65; AC Elect; AC Excel; Peace; Spectrum; Westar.</w:t>
      </w:r>
    </w:p>
  </w:footnote>
  <w:footnote w:id="21">
    <w:p w14:paraId="3544BA4F" w14:textId="77777777" w:rsidR="00A35DB9" w:rsidRPr="001E4C6F" w:rsidRDefault="00A35DB9" w:rsidP="00F75B45">
      <w:pPr>
        <w:rPr>
          <w:rFonts w:cs="Arial"/>
          <w:color w:val="000000" w:themeColor="text1"/>
          <w:sz w:val="16"/>
          <w:szCs w:val="18"/>
        </w:rPr>
      </w:pPr>
      <w:r w:rsidRPr="001E4C6F">
        <w:rPr>
          <w:rFonts w:cs="Arial"/>
          <w:color w:val="000000" w:themeColor="text1"/>
          <w:sz w:val="18"/>
          <w:szCs w:val="20"/>
          <w:vertAlign w:val="superscript"/>
        </w:rPr>
        <w:footnoteRef/>
      </w:r>
      <w:r w:rsidRPr="001E4C6F">
        <w:rPr>
          <w:rFonts w:cs="Arial"/>
          <w:color w:val="000000" w:themeColor="text1"/>
          <w:sz w:val="18"/>
          <w:szCs w:val="20"/>
        </w:rPr>
        <w:t xml:space="preserve"> Published literature for canola includes Wang et al </w:t>
      </w:r>
      <w:r w:rsidRPr="001E4C6F">
        <w:rPr>
          <w:rFonts w:cs="Arial"/>
          <w:noProof/>
          <w:color w:val="000000" w:themeColor="text1"/>
          <w:sz w:val="18"/>
          <w:szCs w:val="20"/>
        </w:rPr>
        <w:t>(1999)</w:t>
      </w:r>
      <w:r w:rsidRPr="001E4C6F">
        <w:rPr>
          <w:rFonts w:cs="Arial"/>
          <w:color w:val="000000" w:themeColor="text1"/>
          <w:sz w:val="18"/>
          <w:szCs w:val="20"/>
        </w:rPr>
        <w:t xml:space="preserve">, Pritchard et al </w:t>
      </w:r>
      <w:r w:rsidRPr="001E4C6F">
        <w:rPr>
          <w:rFonts w:cs="Arial"/>
          <w:noProof/>
          <w:color w:val="000000" w:themeColor="text1"/>
          <w:sz w:val="18"/>
          <w:szCs w:val="20"/>
        </w:rPr>
        <w:t>(2000)</w:t>
      </w:r>
      <w:r w:rsidRPr="001E4C6F">
        <w:rPr>
          <w:rFonts w:cs="Arial"/>
          <w:color w:val="000000" w:themeColor="text1"/>
          <w:sz w:val="18"/>
          <w:szCs w:val="20"/>
        </w:rPr>
        <w:t xml:space="preserve">, </w:t>
      </w:r>
      <w:r w:rsidRPr="001E4C6F">
        <w:rPr>
          <w:rFonts w:eastAsiaTheme="minorHAnsi" w:cs="Arial"/>
          <w:bCs/>
          <w:sz w:val="18"/>
          <w:szCs w:val="20"/>
          <w:lang w:val="en-US"/>
        </w:rPr>
        <w:t>Szmigielska</w:t>
      </w:r>
      <w:r w:rsidRPr="001E4C6F">
        <w:rPr>
          <w:rFonts w:cs="Arial"/>
          <w:color w:val="000000" w:themeColor="text1"/>
          <w:sz w:val="18"/>
          <w:szCs w:val="20"/>
        </w:rPr>
        <w:t xml:space="preserve"> et al </w:t>
      </w:r>
      <w:r w:rsidRPr="001E4C6F">
        <w:rPr>
          <w:rFonts w:cs="Arial"/>
          <w:noProof/>
          <w:color w:val="000000" w:themeColor="text1"/>
          <w:sz w:val="18"/>
          <w:szCs w:val="20"/>
        </w:rPr>
        <w:t>(2000)</w:t>
      </w:r>
      <w:r w:rsidRPr="001E4C6F">
        <w:rPr>
          <w:rFonts w:cs="Arial"/>
          <w:color w:val="000000" w:themeColor="text1"/>
          <w:sz w:val="18"/>
          <w:szCs w:val="20"/>
        </w:rPr>
        <w:t xml:space="preserve">, Marwede et al </w:t>
      </w:r>
      <w:r w:rsidRPr="001E4C6F">
        <w:rPr>
          <w:rFonts w:cs="Arial"/>
          <w:noProof/>
          <w:color w:val="000000" w:themeColor="text1"/>
          <w:sz w:val="18"/>
          <w:szCs w:val="20"/>
        </w:rPr>
        <w:t>(2004)</w:t>
      </w:r>
      <w:r w:rsidRPr="001E4C6F">
        <w:rPr>
          <w:rFonts w:cs="Arial"/>
          <w:color w:val="000000" w:themeColor="text1"/>
          <w:sz w:val="18"/>
          <w:szCs w:val="20"/>
        </w:rPr>
        <w:t xml:space="preserve">, Barthet &amp; Daun </w:t>
      </w:r>
      <w:r w:rsidRPr="001E4C6F">
        <w:rPr>
          <w:rFonts w:cs="Arial"/>
          <w:noProof/>
          <w:color w:val="000000" w:themeColor="text1"/>
          <w:sz w:val="18"/>
          <w:szCs w:val="20"/>
        </w:rPr>
        <w:t>(2005)</w:t>
      </w:r>
      <w:r w:rsidRPr="001E4C6F">
        <w:rPr>
          <w:rFonts w:cs="Arial"/>
          <w:color w:val="000000" w:themeColor="text1"/>
          <w:sz w:val="18"/>
          <w:szCs w:val="20"/>
        </w:rPr>
        <w:t xml:space="preserve">, Brand et al </w:t>
      </w:r>
      <w:r w:rsidRPr="001E4C6F">
        <w:rPr>
          <w:rFonts w:cs="Arial"/>
          <w:noProof/>
          <w:color w:val="000000" w:themeColor="text1"/>
          <w:sz w:val="18"/>
          <w:szCs w:val="20"/>
        </w:rPr>
        <w:t>(2007)</w:t>
      </w:r>
      <w:r w:rsidRPr="001E4C6F">
        <w:rPr>
          <w:rFonts w:cs="Arial"/>
          <w:color w:val="000000" w:themeColor="text1"/>
          <w:sz w:val="18"/>
          <w:szCs w:val="20"/>
        </w:rPr>
        <w:t xml:space="preserve">, Seberry et al </w:t>
      </w:r>
      <w:r w:rsidRPr="001E4C6F">
        <w:rPr>
          <w:rFonts w:cs="Arial"/>
          <w:noProof/>
          <w:color w:val="000000" w:themeColor="text1"/>
          <w:sz w:val="18"/>
          <w:szCs w:val="20"/>
        </w:rPr>
        <w:t>(2007)</w:t>
      </w:r>
      <w:r w:rsidRPr="001E4C6F">
        <w:rPr>
          <w:rFonts w:cs="Arial"/>
          <w:color w:val="000000" w:themeColor="text1"/>
          <w:sz w:val="18"/>
          <w:szCs w:val="20"/>
        </w:rPr>
        <w:t xml:space="preserve">, Spragg &amp; Mailer </w:t>
      </w:r>
      <w:r w:rsidRPr="001E4C6F">
        <w:rPr>
          <w:rFonts w:cs="Arial"/>
          <w:noProof/>
          <w:color w:val="000000" w:themeColor="text1"/>
          <w:sz w:val="18"/>
          <w:szCs w:val="20"/>
        </w:rPr>
        <w:t>(2007)</w:t>
      </w:r>
      <w:r w:rsidRPr="001E4C6F">
        <w:rPr>
          <w:rFonts w:cs="Arial"/>
          <w:color w:val="000000" w:themeColor="text1"/>
          <w:sz w:val="18"/>
          <w:szCs w:val="20"/>
        </w:rPr>
        <w:t xml:space="preserve">, OECD </w:t>
      </w:r>
      <w:r w:rsidRPr="001E4C6F">
        <w:rPr>
          <w:rFonts w:cs="Arial"/>
          <w:noProof/>
          <w:color w:val="000000" w:themeColor="text1"/>
          <w:sz w:val="18"/>
          <w:szCs w:val="20"/>
        </w:rPr>
        <w:t>(2011)</w:t>
      </w:r>
      <w:r w:rsidRPr="001E4C6F">
        <w:rPr>
          <w:rFonts w:cs="Arial"/>
          <w:color w:val="000000" w:themeColor="text1"/>
          <w:sz w:val="18"/>
          <w:szCs w:val="20"/>
        </w:rPr>
        <w:t xml:space="preserve">, Dairy One Cooperative </w:t>
      </w:r>
      <w:r w:rsidRPr="001E4C6F">
        <w:rPr>
          <w:rFonts w:cs="Arial"/>
          <w:noProof/>
          <w:color w:val="000000" w:themeColor="text1"/>
          <w:sz w:val="18"/>
          <w:szCs w:val="20"/>
        </w:rPr>
        <w:t>(2011)</w:t>
      </w:r>
      <w:r w:rsidRPr="001E4C6F">
        <w:rPr>
          <w:rFonts w:cs="Arial"/>
          <w:color w:val="000000" w:themeColor="text1"/>
          <w:sz w:val="18"/>
          <w:szCs w:val="20"/>
        </w:rPr>
        <w:t>.</w:t>
      </w:r>
    </w:p>
  </w:footnote>
  <w:footnote w:id="22">
    <w:p w14:paraId="569BBCD6" w14:textId="77777777" w:rsidR="00A35DB9" w:rsidRPr="00A006D0" w:rsidRDefault="00A35DB9" w:rsidP="0033454E">
      <w:pPr>
        <w:pStyle w:val="FootnoteText"/>
        <w:rPr>
          <w:rFonts w:cs="Arial"/>
          <w:color w:val="000000" w:themeColor="text1"/>
        </w:rPr>
      </w:pPr>
      <w:r w:rsidRPr="001E4C6F">
        <w:rPr>
          <w:rStyle w:val="FootnoteReference"/>
          <w:rFonts w:cs="Arial"/>
          <w:color w:val="000000" w:themeColor="text1"/>
          <w:sz w:val="18"/>
        </w:rPr>
        <w:footnoteRef/>
      </w:r>
      <w:r w:rsidRPr="001E4C6F">
        <w:rPr>
          <w:rFonts w:cs="Arial"/>
          <w:color w:val="000000" w:themeColor="text1"/>
          <w:sz w:val="18"/>
        </w:rPr>
        <w:t xml:space="preserve"> SAS website - </w:t>
      </w:r>
      <w:hyperlink r:id="rId14" w:history="1">
        <w:r w:rsidRPr="001E4C6F">
          <w:rPr>
            <w:rStyle w:val="Hyperlink"/>
            <w:rFonts w:cs="Arial"/>
            <w:sz w:val="18"/>
          </w:rPr>
          <w:t>http://www.sas.com/technologies/analytics/statistics/stat/index.html</w:t>
        </w:r>
      </w:hyperlink>
    </w:p>
  </w:footnote>
  <w:footnote w:id="23">
    <w:p w14:paraId="2FA83569" w14:textId="2119BACC" w:rsidR="00A35DB9" w:rsidRPr="00A006D0" w:rsidRDefault="00A35DB9" w:rsidP="0033454E">
      <w:pPr>
        <w:autoSpaceDE w:val="0"/>
        <w:autoSpaceDN w:val="0"/>
        <w:adjustRightInd w:val="0"/>
        <w:rPr>
          <w:rFonts w:eastAsiaTheme="minorHAnsi" w:cs="Arial"/>
          <w:sz w:val="20"/>
          <w:szCs w:val="20"/>
        </w:rPr>
      </w:pPr>
      <w:r w:rsidRPr="001E4C6F">
        <w:rPr>
          <w:rStyle w:val="FootnoteReference"/>
          <w:sz w:val="18"/>
          <w:szCs w:val="20"/>
        </w:rPr>
        <w:footnoteRef/>
      </w:r>
      <w:r w:rsidRPr="001E4C6F">
        <w:rPr>
          <w:sz w:val="18"/>
          <w:szCs w:val="20"/>
        </w:rPr>
        <w:t xml:space="preserve"> </w:t>
      </w:r>
      <w:r w:rsidRPr="001E4C6F">
        <w:rPr>
          <w:rFonts w:eastAsiaTheme="minorHAnsi" w:cs="Arial"/>
          <w:sz w:val="18"/>
          <w:szCs w:val="20"/>
        </w:rPr>
        <w:t xml:space="preserve">A PRESS (predicted residual sum of squares) statistic provides a comparison of the predicted marginal mean and the observed mean when the predicted value is calculated without the deleted observation in question </w:t>
      </w:r>
      <w:r w:rsidRPr="001E4C6F">
        <w:rPr>
          <w:rFonts w:eastAsiaTheme="minorHAnsi" w:cs="Arial"/>
          <w:noProof/>
          <w:sz w:val="18"/>
          <w:szCs w:val="20"/>
        </w:rPr>
        <w:t>(Schabenberger 2004)</w:t>
      </w:r>
      <w:r w:rsidRPr="001E4C6F">
        <w:rPr>
          <w:rFonts w:eastAsiaTheme="minorHAnsi" w:cs="Arial"/>
          <w:sz w:val="18"/>
          <w:szCs w:val="20"/>
        </w:rPr>
        <w:t>.</w:t>
      </w:r>
    </w:p>
  </w:footnote>
  <w:footnote w:id="24">
    <w:p w14:paraId="55223308" w14:textId="77777777" w:rsidR="00A35DB9" w:rsidRPr="007B2BF4" w:rsidRDefault="00A35DB9">
      <w:pPr>
        <w:pStyle w:val="FootnoteText"/>
        <w:rPr>
          <w:lang w:val="en-AU"/>
        </w:rPr>
      </w:pPr>
      <w:r w:rsidRPr="00D93683">
        <w:rPr>
          <w:rStyle w:val="FootnoteReference"/>
          <w:sz w:val="18"/>
        </w:rPr>
        <w:footnoteRef/>
      </w:r>
      <w:r w:rsidRPr="00D93683">
        <w:rPr>
          <w:sz w:val="18"/>
        </w:rPr>
        <w:t xml:space="preserve"> </w:t>
      </w:r>
      <w:r w:rsidRPr="00D93683">
        <w:rPr>
          <w:sz w:val="18"/>
          <w:lang w:val="en-AU"/>
        </w:rPr>
        <w:t>All website references were current as at 27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BF50C" w14:textId="77777777" w:rsidR="00A35DB9" w:rsidRDefault="00A35DB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4144494"/>
    <w:multiLevelType w:val="hybridMultilevel"/>
    <w:tmpl w:val="74EAC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89078B"/>
    <w:multiLevelType w:val="hybridMultilevel"/>
    <w:tmpl w:val="21CE1DD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2E2042CC"/>
    <w:multiLevelType w:val="hybridMultilevel"/>
    <w:tmpl w:val="8C5C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250D0"/>
    <w:multiLevelType w:val="hybridMultilevel"/>
    <w:tmpl w:val="EA52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86E6349"/>
    <w:multiLevelType w:val="hybridMultilevel"/>
    <w:tmpl w:val="43C4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F7E78"/>
    <w:multiLevelType w:val="hybridMultilevel"/>
    <w:tmpl w:val="429CB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D6D0D"/>
    <w:multiLevelType w:val="hybridMultilevel"/>
    <w:tmpl w:val="C6203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66BD346A"/>
    <w:multiLevelType w:val="hybridMultilevel"/>
    <w:tmpl w:val="0D4A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21B2D"/>
    <w:multiLevelType w:val="hybridMultilevel"/>
    <w:tmpl w:val="A12C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9319C"/>
    <w:multiLevelType w:val="hybridMultilevel"/>
    <w:tmpl w:val="F67C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01F1C"/>
    <w:multiLevelType w:val="hybridMultilevel"/>
    <w:tmpl w:val="6896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F1067"/>
    <w:multiLevelType w:val="hybridMultilevel"/>
    <w:tmpl w:val="C3B2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CC1C10"/>
    <w:multiLevelType w:val="hybridMultilevel"/>
    <w:tmpl w:val="B73A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5"/>
  </w:num>
  <w:num w:numId="5">
    <w:abstractNumId w:val="3"/>
  </w:num>
  <w:num w:numId="6">
    <w:abstractNumId w:val="9"/>
  </w:num>
  <w:num w:numId="7">
    <w:abstractNumId w:val="11"/>
  </w:num>
  <w:num w:numId="8">
    <w:abstractNumId w:val="12"/>
  </w:num>
  <w:num w:numId="9">
    <w:abstractNumId w:val="14"/>
  </w:num>
  <w:num w:numId="10">
    <w:abstractNumId w:val="10"/>
  </w:num>
  <w:num w:numId="11">
    <w:abstractNumId w:val="4"/>
  </w:num>
  <w:num w:numId="12">
    <w:abstractNumId w:val="5"/>
  </w:num>
  <w:num w:numId="13">
    <w:abstractNumId w:val="8"/>
  </w:num>
  <w:num w:numId="14">
    <w:abstractNumId w:val="1"/>
  </w:num>
  <w:num w:numId="15">
    <w:abstractNumId w:val="7"/>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33454E"/>
    <w:rsid w:val="0000542C"/>
    <w:rsid w:val="00012EF3"/>
    <w:rsid w:val="00041643"/>
    <w:rsid w:val="00041AF7"/>
    <w:rsid w:val="000622E7"/>
    <w:rsid w:val="00066854"/>
    <w:rsid w:val="00066D85"/>
    <w:rsid w:val="000A38F8"/>
    <w:rsid w:val="000E72E2"/>
    <w:rsid w:val="000F2196"/>
    <w:rsid w:val="0011077F"/>
    <w:rsid w:val="001734EA"/>
    <w:rsid w:val="00184403"/>
    <w:rsid w:val="00191770"/>
    <w:rsid w:val="001C5126"/>
    <w:rsid w:val="001D7BFA"/>
    <w:rsid w:val="001E4C6F"/>
    <w:rsid w:val="001E696B"/>
    <w:rsid w:val="002079C6"/>
    <w:rsid w:val="002232B1"/>
    <w:rsid w:val="00234C31"/>
    <w:rsid w:val="00283E37"/>
    <w:rsid w:val="002B5414"/>
    <w:rsid w:val="0033021F"/>
    <w:rsid w:val="0033454E"/>
    <w:rsid w:val="00341D25"/>
    <w:rsid w:val="003540DC"/>
    <w:rsid w:val="003A01FB"/>
    <w:rsid w:val="00404702"/>
    <w:rsid w:val="00441D77"/>
    <w:rsid w:val="00443F05"/>
    <w:rsid w:val="00486619"/>
    <w:rsid w:val="004A7168"/>
    <w:rsid w:val="004D3868"/>
    <w:rsid w:val="004E6694"/>
    <w:rsid w:val="0054036E"/>
    <w:rsid w:val="005B578D"/>
    <w:rsid w:val="005C1996"/>
    <w:rsid w:val="005E74A2"/>
    <w:rsid w:val="005F1478"/>
    <w:rsid w:val="00662933"/>
    <w:rsid w:val="006B3E6D"/>
    <w:rsid w:val="006B6900"/>
    <w:rsid w:val="006D473E"/>
    <w:rsid w:val="007201F8"/>
    <w:rsid w:val="00793DE6"/>
    <w:rsid w:val="007D76F3"/>
    <w:rsid w:val="007F6456"/>
    <w:rsid w:val="008145C3"/>
    <w:rsid w:val="00830393"/>
    <w:rsid w:val="00833D5A"/>
    <w:rsid w:val="00856B41"/>
    <w:rsid w:val="00860EE7"/>
    <w:rsid w:val="00877A81"/>
    <w:rsid w:val="008931F6"/>
    <w:rsid w:val="008A2B0B"/>
    <w:rsid w:val="008E2339"/>
    <w:rsid w:val="008F34A0"/>
    <w:rsid w:val="0093373F"/>
    <w:rsid w:val="00935023"/>
    <w:rsid w:val="009806A5"/>
    <w:rsid w:val="009E265A"/>
    <w:rsid w:val="009F70F2"/>
    <w:rsid w:val="00A25B29"/>
    <w:rsid w:val="00A26F82"/>
    <w:rsid w:val="00A319A1"/>
    <w:rsid w:val="00A3238F"/>
    <w:rsid w:val="00A342A6"/>
    <w:rsid w:val="00A35DB9"/>
    <w:rsid w:val="00A808E9"/>
    <w:rsid w:val="00A81CB6"/>
    <w:rsid w:val="00A87856"/>
    <w:rsid w:val="00AD4317"/>
    <w:rsid w:val="00AE26F3"/>
    <w:rsid w:val="00B20711"/>
    <w:rsid w:val="00B53154"/>
    <w:rsid w:val="00B64DEE"/>
    <w:rsid w:val="00B72074"/>
    <w:rsid w:val="00BC2133"/>
    <w:rsid w:val="00BD2330"/>
    <w:rsid w:val="00BE4F3A"/>
    <w:rsid w:val="00BF5D31"/>
    <w:rsid w:val="00C019A6"/>
    <w:rsid w:val="00C1415B"/>
    <w:rsid w:val="00C572A2"/>
    <w:rsid w:val="00C63B93"/>
    <w:rsid w:val="00D244D3"/>
    <w:rsid w:val="00D5526B"/>
    <w:rsid w:val="00D66962"/>
    <w:rsid w:val="00D87D9C"/>
    <w:rsid w:val="00D92B3B"/>
    <w:rsid w:val="00D93683"/>
    <w:rsid w:val="00DA7DED"/>
    <w:rsid w:val="00DF4A30"/>
    <w:rsid w:val="00E0050C"/>
    <w:rsid w:val="00E14B21"/>
    <w:rsid w:val="00E2450C"/>
    <w:rsid w:val="00E340B5"/>
    <w:rsid w:val="00E4001E"/>
    <w:rsid w:val="00E53ACA"/>
    <w:rsid w:val="00E54880"/>
    <w:rsid w:val="00E5589F"/>
    <w:rsid w:val="00E84D1C"/>
    <w:rsid w:val="00E92D94"/>
    <w:rsid w:val="00E9409E"/>
    <w:rsid w:val="00EC65B9"/>
    <w:rsid w:val="00EC65E9"/>
    <w:rsid w:val="00F047B6"/>
    <w:rsid w:val="00F1658E"/>
    <w:rsid w:val="00F4105E"/>
    <w:rsid w:val="00F616DA"/>
    <w:rsid w:val="00F667D2"/>
    <w:rsid w:val="00F75B45"/>
    <w:rsid w:val="00F76F95"/>
    <w:rsid w:val="00F85304"/>
    <w:rsid w:val="00F97F7B"/>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91DF"/>
  <w15:docId w15:val="{D7EDBBAD-C37E-4B7E-BCFE-73B8B132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locked="1" w:semiHidden="1" w:unhideWhenUsed="1" w:qFormat="1"/>
    <w:lsdException w:name="footer" w:locked="1"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5589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33454E"/>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33454E"/>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33454E"/>
    <w:pPr>
      <w:keepNext/>
      <w:widowControl/>
      <w:spacing w:before="240" w:after="240"/>
      <w:ind w:left="851" w:hanging="851"/>
      <w:outlineLvl w:val="2"/>
    </w:pPr>
    <w:rPr>
      <w:rFonts w:eastAsiaTheme="majorEastAsia" w:cstheme="majorBidi"/>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locked/>
    <w:rsid w:val="0033454E"/>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33454E"/>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33454E"/>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33454E"/>
    <w:pPr>
      <w:spacing w:before="240" w:after="60"/>
      <w:outlineLvl w:val="6"/>
    </w:pPr>
  </w:style>
  <w:style w:type="paragraph" w:styleId="Heading8">
    <w:name w:val="heading 8"/>
    <w:basedOn w:val="Normal"/>
    <w:next w:val="Normal"/>
    <w:link w:val="Heading8Char"/>
    <w:uiPriority w:val="9"/>
    <w:unhideWhenUsed/>
    <w:rsid w:val="0033454E"/>
    <w:pPr>
      <w:spacing w:before="240" w:after="60"/>
      <w:outlineLvl w:val="7"/>
    </w:pPr>
    <w:rPr>
      <w:i/>
      <w:iCs/>
    </w:rPr>
  </w:style>
  <w:style w:type="paragraph" w:styleId="Heading9">
    <w:name w:val="heading 9"/>
    <w:basedOn w:val="Normal"/>
    <w:next w:val="Normal"/>
    <w:link w:val="Heading9Char"/>
    <w:uiPriority w:val="9"/>
    <w:unhideWhenUsed/>
    <w:rsid w:val="0033454E"/>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33454E"/>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33454E"/>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33454E"/>
    <w:rPr>
      <w:rFonts w:eastAsiaTheme="majorEastAsia" w:cstheme="majorBidi"/>
      <w:b/>
      <w:bCs/>
      <w:color w:val="000000" w:themeColor="text1"/>
      <w:szCs w:val="24"/>
      <w:lang w:val="en-GB" w:eastAsia="en-AU"/>
    </w:rPr>
  </w:style>
  <w:style w:type="character" w:customStyle="1" w:styleId="Heading4Char">
    <w:name w:val="Heading 4 Char"/>
    <w:aliases w:val="FSHeading 4 Char,Subheading 2 Char"/>
    <w:basedOn w:val="DefaultParagraphFont"/>
    <w:link w:val="Heading4"/>
    <w:uiPriority w:val="2"/>
    <w:rsid w:val="0033454E"/>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33454E"/>
    <w:rPr>
      <w:rFonts w:eastAsiaTheme="majorEastAsia" w:cstheme="majorBidi"/>
      <w:i/>
      <w:lang w:val="en-GB"/>
    </w:rPr>
  </w:style>
  <w:style w:type="character" w:customStyle="1" w:styleId="Heading6Char">
    <w:name w:val="Heading 6 Char"/>
    <w:basedOn w:val="DefaultParagraphFont"/>
    <w:link w:val="Heading6"/>
    <w:uiPriority w:val="9"/>
    <w:rsid w:val="0033454E"/>
    <w:rPr>
      <w:rFonts w:eastAsia="Times New Roman" w:cs="Arial Unicode MS"/>
      <w:b/>
      <w:bCs/>
      <w:lang w:val="en-GB" w:bidi="en-US"/>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rsid w:val="0033454E"/>
    <w:pPr>
      <w:tabs>
        <w:tab w:val="left" w:pos="851"/>
      </w:tabs>
    </w:pPr>
    <w:rPr>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locked/>
    <w:rsid w:val="0033454E"/>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FSFootnote Text"/>
    <w:basedOn w:val="Normal"/>
    <w:link w:val="FootnoteTextChar"/>
    <w:qFormat/>
    <w:rsid w:val="0033454E"/>
    <w:rPr>
      <w:sz w:val="20"/>
      <w:szCs w:val="20"/>
    </w:rPr>
  </w:style>
  <w:style w:type="character" w:customStyle="1" w:styleId="FootnoteTextChar">
    <w:name w:val="Footnote Text Char"/>
    <w:aliases w:val="Footnotes Text Char,FSFootnotes Text Char,FSFootnote Text Char"/>
    <w:basedOn w:val="DefaultParagraphFont"/>
    <w:link w:val="FootnoteText"/>
    <w:rsid w:val="0033454E"/>
    <w:rPr>
      <w:rFonts w:eastAsia="Times New Roman" w:cs="Times New Roman"/>
      <w:sz w:val="20"/>
      <w:szCs w:val="20"/>
      <w:lang w:val="en-GB" w:bidi="en-US"/>
    </w:rPr>
  </w:style>
  <w:style w:type="paragraph" w:customStyle="1" w:styleId="FSBullet1">
    <w:name w:val="FSBullet 1"/>
    <w:basedOn w:val="Normal"/>
    <w:next w:val="Normal"/>
    <w:link w:val="FSBullet1Char"/>
    <w:uiPriority w:val="6"/>
    <w:qFormat/>
    <w:locked/>
    <w:rsid w:val="0033454E"/>
    <w:pPr>
      <w:widowControl/>
      <w:numPr>
        <w:numId w:val="1"/>
      </w:numPr>
      <w:ind w:left="567" w:hanging="567"/>
    </w:pPr>
    <w:rPr>
      <w:rFonts w:cs="Arial"/>
      <w:lang w:bidi="ar-SA"/>
    </w:rPr>
  </w:style>
  <w:style w:type="character" w:customStyle="1" w:styleId="FSBullet1Char">
    <w:name w:val="FSBullet 1 Char"/>
    <w:link w:val="FSBullet1"/>
    <w:uiPriority w:val="6"/>
    <w:rsid w:val="0033454E"/>
    <w:rPr>
      <w:rFonts w:eastAsia="Times New Roman"/>
      <w:szCs w:val="24"/>
      <w:lang w:val="en-GB"/>
    </w:rPr>
  </w:style>
  <w:style w:type="paragraph" w:customStyle="1" w:styleId="FSBullet2">
    <w:name w:val="FSBullet 2"/>
    <w:basedOn w:val="Normal"/>
    <w:qFormat/>
    <w:locked/>
    <w:rsid w:val="0033454E"/>
    <w:pPr>
      <w:widowControl/>
      <w:numPr>
        <w:numId w:val="2"/>
      </w:numPr>
      <w:ind w:left="1134" w:hanging="567"/>
    </w:pPr>
    <w:rPr>
      <w:rFonts w:eastAsia="Calibri"/>
      <w:szCs w:val="22"/>
      <w:lang w:bidi="ar-SA"/>
    </w:rPr>
  </w:style>
  <w:style w:type="paragraph" w:customStyle="1" w:styleId="FSBullet3">
    <w:name w:val="FSBullet 3"/>
    <w:basedOn w:val="Normal"/>
    <w:qFormat/>
    <w:locked/>
    <w:rsid w:val="0033454E"/>
    <w:pPr>
      <w:keepNext/>
      <w:widowControl/>
      <w:numPr>
        <w:numId w:val="3"/>
      </w:numPr>
      <w:ind w:left="1701" w:hanging="567"/>
    </w:pPr>
    <w:rPr>
      <w:rFonts w:eastAsia="Calibri"/>
      <w:b/>
      <w:szCs w:val="22"/>
      <w:lang w:bidi="ar-SA"/>
    </w:r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header protocols"/>
    <w:basedOn w:val="Normal"/>
    <w:link w:val="HeaderChar"/>
    <w:uiPriority w:val="99"/>
    <w:locked/>
    <w:rsid w:val="0033454E"/>
  </w:style>
  <w:style w:type="character" w:customStyle="1" w:styleId="HeaderChar">
    <w:name w:val="Header Char"/>
    <w:aliases w:val="FSHeader Char,header protocols Char"/>
    <w:basedOn w:val="DefaultParagraphFont"/>
    <w:link w:val="Header"/>
    <w:uiPriority w:val="99"/>
    <w:rsid w:val="0033454E"/>
    <w:rPr>
      <w:rFonts w:eastAsia="Times New Roman" w:cs="Times New Roman"/>
      <w:szCs w:val="24"/>
      <w:lang w:val="en-GB" w:bidi="en-US"/>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33454E"/>
    <w:pPr>
      <w:ind w:left="720"/>
      <w:contextualSpacing/>
    </w:pPr>
  </w:style>
  <w:style w:type="character" w:customStyle="1" w:styleId="Heading7Char">
    <w:name w:val="Heading 7 Char"/>
    <w:basedOn w:val="DefaultParagraphFont"/>
    <w:link w:val="Heading7"/>
    <w:uiPriority w:val="9"/>
    <w:rsid w:val="0033454E"/>
    <w:rPr>
      <w:rFonts w:eastAsia="Times New Roman" w:cs="Times New Roman"/>
      <w:szCs w:val="24"/>
      <w:lang w:val="en-GB" w:bidi="en-US"/>
    </w:rPr>
  </w:style>
  <w:style w:type="character" w:customStyle="1" w:styleId="Heading8Char">
    <w:name w:val="Heading 8 Char"/>
    <w:basedOn w:val="DefaultParagraphFont"/>
    <w:link w:val="Heading8"/>
    <w:uiPriority w:val="9"/>
    <w:rsid w:val="0033454E"/>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33454E"/>
    <w:rPr>
      <w:rFonts w:ascii="Cambria" w:eastAsia="Times New Roman" w:hAnsi="Cambria" w:cs="Times New Roman"/>
      <w:lang w:val="en-GB" w:bidi="en-US"/>
    </w:rPr>
  </w:style>
  <w:style w:type="character" w:styleId="Hyperlink">
    <w:name w:val="Hyperlink"/>
    <w:basedOn w:val="DefaultParagraphFont"/>
    <w:uiPriority w:val="99"/>
    <w:rsid w:val="0033454E"/>
    <w:rPr>
      <w:rFonts w:ascii="Arial" w:hAnsi="Arial"/>
      <w:color w:val="3333FF"/>
      <w:u w:val="single"/>
    </w:rPr>
  </w:style>
  <w:style w:type="paragraph" w:customStyle="1" w:styleId="FSTitle">
    <w:name w:val="FS Title"/>
    <w:basedOn w:val="Normal"/>
    <w:qFormat/>
    <w:rsid w:val="0033454E"/>
    <w:rPr>
      <w:rFonts w:cs="Tahoma"/>
      <w:bCs/>
      <w:sz w:val="32"/>
    </w:rPr>
  </w:style>
  <w:style w:type="paragraph" w:customStyle="1" w:styleId="FSCbaseheading">
    <w:name w:val="FSC_base_heading"/>
    <w:rsid w:val="0033454E"/>
    <w:pPr>
      <w:keepNext/>
      <w:keepLines/>
      <w:spacing w:before="360"/>
      <w:ind w:left="2835" w:hanging="2835"/>
    </w:pPr>
    <w:rPr>
      <w:rFonts w:eastAsia="Times New Roman"/>
      <w:b/>
      <w:bCs/>
      <w:kern w:val="32"/>
      <w:sz w:val="24"/>
      <w:szCs w:val="32"/>
      <w:lang w:val="en-GB" w:eastAsia="en-AU"/>
    </w:rPr>
  </w:style>
  <w:style w:type="paragraph" w:styleId="TOC1">
    <w:name w:val="toc 1"/>
    <w:basedOn w:val="Normal"/>
    <w:next w:val="Normal"/>
    <w:autoRedefine/>
    <w:uiPriority w:val="39"/>
    <w:qFormat/>
    <w:rsid w:val="0033454E"/>
    <w:pPr>
      <w:tabs>
        <w:tab w:val="right" w:leader="dot" w:pos="9060"/>
      </w:tabs>
      <w:spacing w:before="120" w:after="120"/>
    </w:pPr>
    <w:rPr>
      <w:rFonts w:cstheme="minorHAnsi"/>
      <w:b/>
      <w:bCs/>
      <w:caps/>
      <w:szCs w:val="20"/>
    </w:rPr>
  </w:style>
  <w:style w:type="paragraph" w:styleId="TOC2">
    <w:name w:val="toc 2"/>
    <w:basedOn w:val="Normal"/>
    <w:next w:val="Normal"/>
    <w:autoRedefine/>
    <w:uiPriority w:val="39"/>
    <w:qFormat/>
    <w:rsid w:val="0033454E"/>
    <w:pPr>
      <w:spacing w:before="120" w:after="120"/>
      <w:ind w:left="221"/>
    </w:pPr>
    <w:rPr>
      <w:rFonts w:cstheme="minorHAnsi"/>
      <w:smallCaps/>
      <w:szCs w:val="20"/>
    </w:rPr>
  </w:style>
  <w:style w:type="character" w:styleId="PageNumber">
    <w:name w:val="page number"/>
    <w:basedOn w:val="DefaultParagraphFont"/>
    <w:rsid w:val="0033454E"/>
    <w:rPr>
      <w:rFonts w:ascii="Arial" w:hAnsi="Arial"/>
    </w:rPr>
  </w:style>
  <w:style w:type="paragraph" w:styleId="TOC3">
    <w:name w:val="toc 3"/>
    <w:basedOn w:val="Normal"/>
    <w:next w:val="Normal"/>
    <w:autoRedefine/>
    <w:uiPriority w:val="39"/>
    <w:qFormat/>
    <w:rsid w:val="0033454E"/>
    <w:pPr>
      <w:ind w:left="440"/>
    </w:pPr>
    <w:rPr>
      <w:rFonts w:asciiTheme="minorHAnsi" w:hAnsiTheme="minorHAnsi" w:cstheme="minorHAnsi"/>
      <w:i/>
      <w:iCs/>
      <w:sz w:val="20"/>
      <w:szCs w:val="20"/>
    </w:rPr>
  </w:style>
  <w:style w:type="paragraph" w:styleId="TOC4">
    <w:name w:val="toc 4"/>
    <w:basedOn w:val="Normal"/>
    <w:next w:val="Normal"/>
    <w:autoRedefine/>
    <w:semiHidden/>
    <w:rsid w:val="0033454E"/>
    <w:pPr>
      <w:ind w:left="660"/>
    </w:pPr>
    <w:rPr>
      <w:rFonts w:asciiTheme="minorHAnsi" w:hAnsiTheme="minorHAnsi" w:cstheme="minorHAnsi"/>
      <w:sz w:val="18"/>
      <w:szCs w:val="18"/>
    </w:rPr>
  </w:style>
  <w:style w:type="paragraph" w:styleId="TOC5">
    <w:name w:val="toc 5"/>
    <w:basedOn w:val="Normal"/>
    <w:next w:val="Normal"/>
    <w:autoRedefine/>
    <w:semiHidden/>
    <w:rsid w:val="0033454E"/>
    <w:pPr>
      <w:ind w:left="880"/>
    </w:pPr>
    <w:rPr>
      <w:rFonts w:asciiTheme="minorHAnsi" w:hAnsiTheme="minorHAnsi" w:cstheme="minorHAnsi"/>
      <w:sz w:val="18"/>
      <w:szCs w:val="18"/>
    </w:rPr>
  </w:style>
  <w:style w:type="character" w:styleId="FollowedHyperlink">
    <w:name w:val="FollowedHyperlink"/>
    <w:basedOn w:val="DefaultParagraphFont"/>
    <w:rsid w:val="0033454E"/>
    <w:rPr>
      <w:rFonts w:ascii="Arial" w:hAnsi="Arial"/>
      <w:color w:val="3333FF"/>
      <w:sz w:val="22"/>
      <w:u w:val="single"/>
    </w:rPr>
  </w:style>
  <w:style w:type="paragraph" w:styleId="TOC6">
    <w:name w:val="toc 6"/>
    <w:basedOn w:val="Normal"/>
    <w:next w:val="Normal"/>
    <w:autoRedefine/>
    <w:semiHidden/>
    <w:rsid w:val="0033454E"/>
    <w:pPr>
      <w:ind w:left="1100"/>
    </w:pPr>
    <w:rPr>
      <w:rFonts w:asciiTheme="minorHAnsi" w:hAnsiTheme="minorHAnsi" w:cstheme="minorHAnsi"/>
      <w:sz w:val="18"/>
      <w:szCs w:val="18"/>
    </w:rPr>
  </w:style>
  <w:style w:type="paragraph" w:customStyle="1" w:styleId="FSCbasepara">
    <w:name w:val="FSC_base_para"/>
    <w:rsid w:val="0033454E"/>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33454E"/>
  </w:style>
  <w:style w:type="paragraph" w:customStyle="1" w:styleId="FSCbaseTOC">
    <w:name w:val="FSC_base_TOC"/>
    <w:rsid w:val="0033454E"/>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33454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33454E"/>
    <w:pPr>
      <w:spacing w:before="120" w:after="120"/>
      <w:ind w:left="851" w:hanging="851"/>
    </w:pPr>
    <w:rPr>
      <w:b/>
      <w:sz w:val="20"/>
      <w:szCs w:val="20"/>
      <w:lang w:bidi="ar-SA"/>
    </w:rPr>
  </w:style>
  <w:style w:type="paragraph" w:customStyle="1" w:styleId="FSCfooter0">
    <w:name w:val="FSC_footer"/>
    <w:basedOn w:val="Normal"/>
    <w:rsid w:val="0033454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33454E"/>
    <w:pPr>
      <w:spacing w:before="0" w:after="240"/>
      <w:outlineLvl w:val="0"/>
    </w:pPr>
    <w:rPr>
      <w:bCs w:val="0"/>
      <w:sz w:val="40"/>
    </w:rPr>
  </w:style>
  <w:style w:type="paragraph" w:customStyle="1" w:styleId="FSCh2Part">
    <w:name w:val="FSC_h2_Part"/>
    <w:basedOn w:val="FSCbaseheading"/>
    <w:next w:val="Normal"/>
    <w:qFormat/>
    <w:rsid w:val="0033454E"/>
    <w:pPr>
      <w:spacing w:before="240" w:after="240"/>
      <w:outlineLvl w:val="1"/>
    </w:pPr>
    <w:rPr>
      <w:bCs w:val="0"/>
      <w:sz w:val="36"/>
      <w:szCs w:val="22"/>
    </w:rPr>
  </w:style>
  <w:style w:type="paragraph" w:customStyle="1" w:styleId="FSCh3Standard">
    <w:name w:val="FSC_h3_Standard"/>
    <w:basedOn w:val="FSCbaseheading"/>
    <w:next w:val="Normal"/>
    <w:qFormat/>
    <w:rsid w:val="0033454E"/>
    <w:pPr>
      <w:spacing w:before="0" w:after="240"/>
      <w:outlineLvl w:val="2"/>
    </w:pPr>
    <w:rPr>
      <w:sz w:val="32"/>
    </w:rPr>
  </w:style>
  <w:style w:type="paragraph" w:customStyle="1" w:styleId="FSCh3Contents">
    <w:name w:val="FSC_h3_Contents"/>
    <w:basedOn w:val="FSCh3Standard"/>
    <w:rsid w:val="0033454E"/>
  </w:style>
  <w:style w:type="paragraph" w:customStyle="1" w:styleId="FSCh4Div">
    <w:name w:val="FSC_h4_Div"/>
    <w:basedOn w:val="FSCbaseheading"/>
    <w:next w:val="Normal"/>
    <w:qFormat/>
    <w:rsid w:val="0033454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33454E"/>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33454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33454E"/>
    <w:pPr>
      <w:keepLines w:val="0"/>
      <w:widowControl w:val="0"/>
      <w:spacing w:before="120" w:after="60"/>
      <w:ind w:left="1701" w:firstLine="0"/>
    </w:pPr>
    <w:rPr>
      <w:b w:val="0"/>
      <w:i/>
      <w:sz w:val="20"/>
    </w:rPr>
  </w:style>
  <w:style w:type="paragraph" w:customStyle="1" w:styleId="Footnote">
    <w:name w:val="Footnote"/>
    <w:basedOn w:val="Normal"/>
    <w:rsid w:val="00E5589F"/>
    <w:pPr>
      <w:tabs>
        <w:tab w:val="left" w:pos="851"/>
      </w:tabs>
    </w:pPr>
    <w:rPr>
      <w:sz w:val="18"/>
      <w:szCs w:val="20"/>
    </w:rPr>
  </w:style>
  <w:style w:type="paragraph" w:styleId="TOC7">
    <w:name w:val="toc 7"/>
    <w:basedOn w:val="Normal"/>
    <w:next w:val="Normal"/>
    <w:autoRedefine/>
    <w:semiHidden/>
    <w:rsid w:val="0033454E"/>
    <w:pPr>
      <w:ind w:left="1320"/>
    </w:pPr>
    <w:rPr>
      <w:rFonts w:asciiTheme="minorHAnsi" w:hAnsiTheme="minorHAnsi" w:cstheme="minorHAnsi"/>
      <w:sz w:val="18"/>
      <w:szCs w:val="18"/>
    </w:rPr>
  </w:style>
  <w:style w:type="paragraph" w:styleId="TOC8">
    <w:name w:val="toc 8"/>
    <w:basedOn w:val="Normal"/>
    <w:next w:val="Normal"/>
    <w:autoRedefine/>
    <w:semiHidden/>
    <w:rsid w:val="0033454E"/>
    <w:pPr>
      <w:ind w:left="1540"/>
    </w:pPr>
    <w:rPr>
      <w:rFonts w:asciiTheme="minorHAnsi" w:hAnsiTheme="minorHAnsi" w:cstheme="minorHAnsi"/>
      <w:sz w:val="18"/>
      <w:szCs w:val="18"/>
    </w:rPr>
  </w:style>
  <w:style w:type="paragraph" w:styleId="TOC9">
    <w:name w:val="toc 9"/>
    <w:basedOn w:val="Normal"/>
    <w:next w:val="Normal"/>
    <w:autoRedefine/>
    <w:semiHidden/>
    <w:rsid w:val="0033454E"/>
    <w:pPr>
      <w:ind w:left="1760"/>
    </w:pPr>
    <w:rPr>
      <w:rFonts w:asciiTheme="minorHAnsi" w:hAnsiTheme="minorHAnsi" w:cstheme="minorHAnsi"/>
      <w:sz w:val="18"/>
      <w:szCs w:val="18"/>
    </w:rPr>
  </w:style>
  <w:style w:type="character" w:styleId="FootnoteReference">
    <w:name w:val="footnote reference"/>
    <w:basedOn w:val="DefaultParagraphFont"/>
    <w:rsid w:val="0033454E"/>
    <w:rPr>
      <w:vertAlign w:val="superscript"/>
    </w:rPr>
  </w:style>
  <w:style w:type="paragraph" w:styleId="BalloonText">
    <w:name w:val="Balloon Text"/>
    <w:basedOn w:val="Normal"/>
    <w:link w:val="BalloonTextChar"/>
    <w:semiHidden/>
    <w:rsid w:val="0033454E"/>
    <w:rPr>
      <w:rFonts w:ascii="Tahoma" w:hAnsi="Tahoma" w:cs="Tahoma"/>
      <w:sz w:val="16"/>
      <w:szCs w:val="16"/>
    </w:rPr>
  </w:style>
  <w:style w:type="character" w:customStyle="1" w:styleId="BalloonTextChar">
    <w:name w:val="Balloon Text Char"/>
    <w:basedOn w:val="DefaultParagraphFont"/>
    <w:link w:val="BalloonText"/>
    <w:semiHidden/>
    <w:rsid w:val="0033454E"/>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33454E"/>
    <w:pPr>
      <w:jc w:val="center"/>
      <w:outlineLvl w:val="9"/>
    </w:pPr>
  </w:style>
  <w:style w:type="paragraph" w:customStyle="1" w:styleId="FSCtMain">
    <w:name w:val="FSC_t_Main"/>
    <w:basedOn w:val="FSCbasepara"/>
    <w:rsid w:val="0033454E"/>
  </w:style>
  <w:style w:type="paragraph" w:customStyle="1" w:styleId="FSCnatHeading">
    <w:name w:val="FSC_n_at_Heading"/>
    <w:basedOn w:val="FSCtMain"/>
    <w:qFormat/>
    <w:rsid w:val="0033454E"/>
  </w:style>
  <w:style w:type="table" w:styleId="TableGrid">
    <w:name w:val="Table Grid"/>
    <w:basedOn w:val="TableNormal"/>
    <w:rsid w:val="0033454E"/>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33454E"/>
    <w:rPr>
      <w:rFonts w:cs="Arial"/>
      <w:b/>
    </w:rPr>
  </w:style>
  <w:style w:type="paragraph" w:customStyle="1" w:styleId="FSTableHeading">
    <w:name w:val="FS Table Heading"/>
    <w:basedOn w:val="Normal"/>
    <w:qFormat/>
    <w:rsid w:val="0033454E"/>
    <w:pPr>
      <w:jc w:val="center"/>
    </w:pPr>
    <w:rPr>
      <w:rFonts w:ascii="Arial Bold" w:hAnsi="Arial Bold" w:cs="Arial"/>
      <w:b/>
      <w:sz w:val="20"/>
      <w:szCs w:val="20"/>
    </w:rPr>
  </w:style>
  <w:style w:type="paragraph" w:customStyle="1" w:styleId="FSTableText">
    <w:name w:val="FS Table Text"/>
    <w:basedOn w:val="Normal"/>
    <w:qFormat/>
    <w:rsid w:val="0033454E"/>
    <w:rPr>
      <w:rFonts w:cs="Arial"/>
      <w:sz w:val="20"/>
      <w:szCs w:val="20"/>
    </w:rPr>
  </w:style>
  <w:style w:type="paragraph" w:customStyle="1" w:styleId="FSFigureTitle">
    <w:name w:val="FS Figure Title"/>
    <w:basedOn w:val="Normal"/>
    <w:next w:val="Normal"/>
    <w:qFormat/>
    <w:rsid w:val="0033454E"/>
    <w:rPr>
      <w:rFonts w:cs="Arial"/>
      <w:i/>
    </w:rPr>
  </w:style>
  <w:style w:type="character" w:styleId="CommentReference">
    <w:name w:val="annotation reference"/>
    <w:basedOn w:val="DefaultParagraphFont"/>
    <w:uiPriority w:val="99"/>
    <w:rsid w:val="0033454E"/>
    <w:rPr>
      <w:sz w:val="16"/>
      <w:szCs w:val="16"/>
    </w:rPr>
  </w:style>
  <w:style w:type="paragraph" w:customStyle="1" w:styleId="FSCtPara">
    <w:name w:val="FSC_t_Para"/>
    <w:basedOn w:val="FSCtMain"/>
    <w:qFormat/>
    <w:rsid w:val="0033454E"/>
  </w:style>
  <w:style w:type="paragraph" w:customStyle="1" w:styleId="FSCnMain">
    <w:name w:val="FSC_n_Main"/>
    <w:basedOn w:val="FSCtPara"/>
    <w:qFormat/>
    <w:rsid w:val="0033454E"/>
    <w:pPr>
      <w:keepLines w:val="0"/>
      <w:widowControl w:val="0"/>
      <w:tabs>
        <w:tab w:val="left" w:pos="1701"/>
      </w:tabs>
      <w:spacing w:before="60" w:after="60"/>
      <w:ind w:left="2268" w:hanging="2268"/>
    </w:pPr>
    <w:rPr>
      <w:iCs w:val="0"/>
      <w:sz w:val="16"/>
      <w:szCs w:val="18"/>
    </w:rPr>
  </w:style>
  <w:style w:type="paragraph" w:customStyle="1" w:styleId="FSCtSubpara">
    <w:name w:val="FSC_t_Subpara"/>
    <w:basedOn w:val="FSCtMain"/>
    <w:qFormat/>
    <w:rsid w:val="0033454E"/>
  </w:style>
  <w:style w:type="paragraph" w:customStyle="1" w:styleId="FSCnPara">
    <w:name w:val="FSC_n_Para"/>
    <w:basedOn w:val="FSCtSubpara"/>
    <w:qFormat/>
    <w:rsid w:val="0033454E"/>
    <w:pPr>
      <w:keepLines w:val="0"/>
      <w:widowControl w:val="0"/>
      <w:tabs>
        <w:tab w:val="left" w:pos="2268"/>
      </w:tabs>
      <w:spacing w:before="60" w:after="60"/>
      <w:ind w:left="2835" w:hanging="2835"/>
    </w:pPr>
    <w:rPr>
      <w:sz w:val="16"/>
    </w:rPr>
  </w:style>
  <w:style w:type="paragraph" w:customStyle="1" w:styleId="FSCtSubsub">
    <w:name w:val="FSC_t_Subsub"/>
    <w:basedOn w:val="FSCtPara"/>
    <w:qFormat/>
    <w:rsid w:val="0033454E"/>
    <w:pPr>
      <w:keepLines w:val="0"/>
      <w:widowControl w:val="0"/>
      <w:tabs>
        <w:tab w:val="left" w:pos="2835"/>
      </w:tabs>
      <w:spacing w:before="60" w:after="60"/>
      <w:ind w:left="3402" w:hanging="3402"/>
    </w:pPr>
  </w:style>
  <w:style w:type="paragraph" w:customStyle="1" w:styleId="FSCnSubpara">
    <w:name w:val="FSC_n_Subpara"/>
    <w:basedOn w:val="FSCtSubsub"/>
    <w:qFormat/>
    <w:rsid w:val="0033454E"/>
    <w:rPr>
      <w:sz w:val="16"/>
    </w:rPr>
  </w:style>
  <w:style w:type="table" w:styleId="MediumShading1-Accent3">
    <w:name w:val="Medium Shading 1 Accent 3"/>
    <w:basedOn w:val="TableNormal"/>
    <w:uiPriority w:val="63"/>
    <w:rsid w:val="0033454E"/>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CnSubsub">
    <w:name w:val="FSC_n_Subsub"/>
    <w:basedOn w:val="FSCnSubpara"/>
    <w:qFormat/>
    <w:rsid w:val="0033454E"/>
    <w:pPr>
      <w:tabs>
        <w:tab w:val="clear" w:pos="2835"/>
        <w:tab w:val="left" w:pos="3402"/>
      </w:tabs>
      <w:ind w:left="3969" w:hanging="3969"/>
    </w:pPr>
  </w:style>
  <w:style w:type="paragraph" w:customStyle="1" w:styleId="FSCoContents">
    <w:name w:val="FSC_o_Contents"/>
    <w:basedOn w:val="FSCh2Part"/>
    <w:rsid w:val="0033454E"/>
    <w:pPr>
      <w:ind w:left="0" w:firstLine="0"/>
      <w:jc w:val="center"/>
    </w:pPr>
  </w:style>
  <w:style w:type="paragraph" w:customStyle="1" w:styleId="FSCoDraftstrip">
    <w:name w:val="FSC_o_Draft_strip"/>
    <w:basedOn w:val="Normal"/>
    <w:rsid w:val="0033454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33454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33454E"/>
    <w:pPr>
      <w:widowControl/>
      <w:spacing w:before="80"/>
    </w:pPr>
    <w:rPr>
      <w:color w:val="7030A0"/>
      <w:lang w:eastAsia="en-AU" w:bidi="ar-SA"/>
    </w:rPr>
  </w:style>
  <w:style w:type="paragraph" w:customStyle="1" w:styleId="FSCoFooter">
    <w:name w:val="FSC_o_Footer"/>
    <w:basedOn w:val="Normal"/>
    <w:rsid w:val="0033454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33454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33454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33454E"/>
    <w:rPr>
      <w:rFonts w:eastAsia="Times New Roman" w:cs="Times New Roman"/>
      <w:b/>
      <w:noProof/>
      <w:sz w:val="20"/>
      <w:szCs w:val="24"/>
      <w:lang w:val="en-GB" w:eastAsia="en-AU"/>
    </w:rPr>
  </w:style>
  <w:style w:type="paragraph" w:customStyle="1" w:styleId="FSCoParaMark">
    <w:name w:val="FSC_o_Para_Mark"/>
    <w:basedOn w:val="Normal"/>
    <w:next w:val="Normal"/>
    <w:qFormat/>
    <w:rsid w:val="0033454E"/>
    <w:pPr>
      <w:widowControl/>
    </w:pPr>
    <w:rPr>
      <w:sz w:val="16"/>
      <w:lang w:eastAsia="en-AU" w:bidi="ar-SA"/>
    </w:rPr>
  </w:style>
  <w:style w:type="paragraph" w:customStyle="1" w:styleId="FSCoStandardEnd">
    <w:name w:val="FSC_o_Standard_End"/>
    <w:basedOn w:val="FSCtMain"/>
    <w:qFormat/>
    <w:rsid w:val="0033454E"/>
    <w:pPr>
      <w:keepLines w:val="0"/>
      <w:widowControl w:val="0"/>
      <w:tabs>
        <w:tab w:val="left" w:pos="1134"/>
      </w:tabs>
      <w:spacing w:before="240"/>
      <w:jc w:val="center"/>
    </w:pPr>
    <w:rPr>
      <w:iCs w:val="0"/>
    </w:rPr>
  </w:style>
  <w:style w:type="paragraph" w:customStyle="1" w:styleId="FSCoTitleofInstrument">
    <w:name w:val="FSC_o_Title_of_Instrument"/>
    <w:basedOn w:val="Normal"/>
    <w:rsid w:val="0033454E"/>
    <w:pPr>
      <w:widowControl/>
      <w:spacing w:before="200"/>
    </w:pPr>
    <w:rPr>
      <w:b/>
      <w:sz w:val="32"/>
      <w:lang w:eastAsia="en-AU" w:bidi="ar-SA"/>
    </w:rPr>
  </w:style>
  <w:style w:type="paragraph" w:customStyle="1" w:styleId="FSCoutChap">
    <w:name w:val="FSC_out_Chap"/>
    <w:basedOn w:val="FSCh4Div"/>
    <w:qFormat/>
    <w:rsid w:val="0033454E"/>
    <w:pPr>
      <w:tabs>
        <w:tab w:val="left" w:pos="1701"/>
      </w:tabs>
      <w:spacing w:after="120"/>
      <w:ind w:left="3402" w:hanging="3402"/>
    </w:pPr>
  </w:style>
  <w:style w:type="paragraph" w:customStyle="1" w:styleId="FSCoutPart">
    <w:name w:val="FSC_out_Part"/>
    <w:basedOn w:val="FSCh5Section"/>
    <w:qFormat/>
    <w:rsid w:val="0033454E"/>
    <w:pPr>
      <w:keepNext w:val="0"/>
      <w:tabs>
        <w:tab w:val="left" w:pos="1701"/>
      </w:tabs>
      <w:ind w:left="3402" w:hanging="3402"/>
    </w:pPr>
  </w:style>
  <w:style w:type="paragraph" w:customStyle="1" w:styleId="FSCoutStand">
    <w:name w:val="FSC_out_Stand"/>
    <w:basedOn w:val="FSCtMain"/>
    <w:qFormat/>
    <w:rsid w:val="0033454E"/>
    <w:pPr>
      <w:keepLines w:val="0"/>
      <w:widowControl w:val="0"/>
      <w:tabs>
        <w:tab w:val="left" w:pos="1701"/>
      </w:tabs>
      <w:spacing w:after="120"/>
      <w:ind w:left="3402" w:hanging="3402"/>
    </w:pPr>
  </w:style>
  <w:style w:type="paragraph" w:customStyle="1" w:styleId="FSCtDefn">
    <w:name w:val="FSC_t_Defn"/>
    <w:basedOn w:val="FSCtMain"/>
    <w:rsid w:val="0033454E"/>
    <w:pPr>
      <w:keepLines w:val="0"/>
      <w:widowControl w:val="0"/>
      <w:tabs>
        <w:tab w:val="left" w:pos="1134"/>
      </w:tabs>
      <w:spacing w:after="120"/>
      <w:ind w:firstLine="0"/>
    </w:pPr>
  </w:style>
  <w:style w:type="paragraph" w:customStyle="1" w:styleId="FSCtblAddh1">
    <w:name w:val="FSC_tbl_Add_h1"/>
    <w:basedOn w:val="FSCh4Div"/>
    <w:rsid w:val="0033454E"/>
    <w:pPr>
      <w:spacing w:before="120" w:after="120"/>
    </w:pPr>
    <w:rPr>
      <w:rFonts w:eastAsiaTheme="minorHAnsi"/>
      <w:sz w:val="20"/>
      <w:lang w:eastAsia="en-US"/>
    </w:rPr>
  </w:style>
  <w:style w:type="paragraph" w:customStyle="1" w:styleId="FSCtblAddh2">
    <w:name w:val="FSC_tbl_Add_h2"/>
    <w:basedOn w:val="FSCtblAddh1"/>
    <w:rsid w:val="0033454E"/>
    <w:pPr>
      <w:spacing w:before="60" w:after="60"/>
    </w:pPr>
    <w:rPr>
      <w:i/>
    </w:rPr>
  </w:style>
  <w:style w:type="paragraph" w:customStyle="1" w:styleId="FSCtblAddh3">
    <w:name w:val="FSC_tbl_Add_h3"/>
    <w:basedOn w:val="Normal"/>
    <w:rsid w:val="0033454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33454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33454E"/>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33454E"/>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33454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33454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33454E"/>
    <w:pPr>
      <w:widowControl/>
      <w:ind w:left="113" w:hanging="113"/>
    </w:pPr>
    <w:rPr>
      <w:bCs/>
      <w:sz w:val="16"/>
      <w:szCs w:val="20"/>
      <w:lang w:bidi="ar-SA"/>
    </w:rPr>
  </w:style>
  <w:style w:type="paragraph" w:customStyle="1" w:styleId="FSCtblh2">
    <w:name w:val="FSC_tbl_h2"/>
    <w:basedOn w:val="Normal"/>
    <w:qFormat/>
    <w:rsid w:val="0033454E"/>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33454E"/>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33454E"/>
    <w:pPr>
      <w:keepNext/>
      <w:keepLines/>
      <w:widowControl/>
      <w:spacing w:before="60" w:after="60"/>
    </w:pPr>
    <w:rPr>
      <w:rFonts w:cs="Arial"/>
      <w:i/>
      <w:sz w:val="18"/>
      <w:szCs w:val="22"/>
      <w:lang w:eastAsia="en-AU" w:bidi="ar-SA"/>
    </w:rPr>
  </w:style>
  <w:style w:type="paragraph" w:customStyle="1" w:styleId="FSCtblMain">
    <w:name w:val="FSC_tbl_Main"/>
    <w:basedOn w:val="Normal"/>
    <w:rsid w:val="0033454E"/>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33454E"/>
    <w:pPr>
      <w:jc w:val="center"/>
    </w:pPr>
    <w:rPr>
      <w:rFonts w:eastAsiaTheme="minorHAnsi"/>
      <w:lang w:eastAsia="en-US"/>
    </w:rPr>
  </w:style>
  <w:style w:type="paragraph" w:customStyle="1" w:styleId="FSCtblMainRH">
    <w:name w:val="FSC_tbl_Main_RH"/>
    <w:basedOn w:val="FSCtblMain"/>
    <w:qFormat/>
    <w:rsid w:val="0033454E"/>
    <w:pPr>
      <w:jc w:val="right"/>
    </w:pPr>
    <w:rPr>
      <w:rFonts w:eastAsiaTheme="minorHAnsi"/>
      <w:lang w:eastAsia="en-US"/>
    </w:rPr>
  </w:style>
  <w:style w:type="paragraph" w:customStyle="1" w:styleId="FSCtblMRL1">
    <w:name w:val="FSC_tbl_MRL1"/>
    <w:basedOn w:val="Normal"/>
    <w:rsid w:val="0033454E"/>
    <w:pPr>
      <w:keepLines/>
      <w:widowControl/>
      <w:spacing w:before="20" w:after="20"/>
    </w:pPr>
    <w:rPr>
      <w:rFonts w:cs="Arial"/>
      <w:sz w:val="18"/>
      <w:szCs w:val="20"/>
      <w:lang w:eastAsia="en-AU" w:bidi="ar-SA"/>
    </w:rPr>
  </w:style>
  <w:style w:type="paragraph" w:customStyle="1" w:styleId="FSCtblMRL2">
    <w:name w:val="FSC_tbl_MRL2"/>
    <w:basedOn w:val="FSCtblMRL1"/>
    <w:qFormat/>
    <w:rsid w:val="0033454E"/>
    <w:pPr>
      <w:jc w:val="right"/>
    </w:pPr>
    <w:rPr>
      <w:rFonts w:eastAsiaTheme="minorHAnsi"/>
      <w:lang w:eastAsia="en-US"/>
    </w:rPr>
  </w:style>
  <w:style w:type="paragraph" w:customStyle="1" w:styleId="FSCtblPara">
    <w:name w:val="FSC_tbl_Para"/>
    <w:basedOn w:val="Normal"/>
    <w:rsid w:val="0033454E"/>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33454E"/>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sid w:val="0033454E"/>
    <w:rPr>
      <w:sz w:val="20"/>
      <w:szCs w:val="20"/>
    </w:rPr>
  </w:style>
  <w:style w:type="character" w:customStyle="1" w:styleId="CommentTextChar">
    <w:name w:val="Comment Text Char"/>
    <w:basedOn w:val="DefaultParagraphFont"/>
    <w:link w:val="CommentText"/>
    <w:rsid w:val="0033454E"/>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33454E"/>
    <w:rPr>
      <w:b/>
      <w:bCs/>
    </w:rPr>
  </w:style>
  <w:style w:type="character" w:customStyle="1" w:styleId="CommentSubjectChar">
    <w:name w:val="Comment Subject Char"/>
    <w:basedOn w:val="CommentTextChar"/>
    <w:link w:val="CommentSubject"/>
    <w:rsid w:val="0033454E"/>
    <w:rPr>
      <w:rFonts w:eastAsia="Times New Roman" w:cs="Times New Roman"/>
      <w:b/>
      <w:bCs/>
      <w:sz w:val="20"/>
      <w:szCs w:val="20"/>
      <w:lang w:val="en-GB" w:bidi="en-US"/>
    </w:rPr>
  </w:style>
  <w:style w:type="paragraph" w:styleId="BodyText">
    <w:name w:val="Body Text"/>
    <w:basedOn w:val="Normal"/>
    <w:link w:val="BodyTextChar"/>
    <w:rsid w:val="0033454E"/>
    <w:pPr>
      <w:spacing w:after="120"/>
    </w:pPr>
  </w:style>
  <w:style w:type="character" w:customStyle="1" w:styleId="BodyTextChar">
    <w:name w:val="Body Text Char"/>
    <w:basedOn w:val="DefaultParagraphFont"/>
    <w:link w:val="BodyText"/>
    <w:rsid w:val="0033454E"/>
    <w:rPr>
      <w:rFonts w:eastAsia="Times New Roman" w:cs="Times New Roman"/>
      <w:szCs w:val="24"/>
      <w:lang w:val="en-GB" w:bidi="en-US"/>
    </w:rPr>
  </w:style>
  <w:style w:type="paragraph" w:styleId="Caption">
    <w:name w:val="caption"/>
    <w:basedOn w:val="Normal"/>
    <w:next w:val="Normal"/>
    <w:unhideWhenUsed/>
    <w:rsid w:val="0033454E"/>
    <w:pPr>
      <w:widowControl/>
    </w:pPr>
    <w:rPr>
      <w:b/>
      <w:bCs/>
      <w:sz w:val="20"/>
      <w:szCs w:val="20"/>
      <w:lang w:val="en-AU" w:bidi="ar-SA"/>
    </w:rPr>
  </w:style>
  <w:style w:type="paragraph" w:styleId="TableofFigures">
    <w:name w:val="table of figures"/>
    <w:basedOn w:val="Normal"/>
    <w:next w:val="Normal"/>
    <w:uiPriority w:val="99"/>
    <w:rsid w:val="0033454E"/>
  </w:style>
  <w:style w:type="character" w:styleId="Emphasis">
    <w:name w:val="Emphasis"/>
    <w:basedOn w:val="DefaultParagraphFont"/>
    <w:uiPriority w:val="20"/>
    <w:qFormat/>
    <w:rsid w:val="0033454E"/>
    <w:rPr>
      <w:i/>
      <w:iCs/>
    </w:rPr>
  </w:style>
  <w:style w:type="paragraph" w:styleId="HTMLPreformatted">
    <w:name w:val="HTML Preformatted"/>
    <w:basedOn w:val="Normal"/>
    <w:link w:val="HTMLPreformattedChar"/>
    <w:uiPriority w:val="99"/>
    <w:unhideWhenUsed/>
    <w:rsid w:val="00334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lang w:eastAsia="en-GB" w:bidi="ar-SA"/>
    </w:rPr>
  </w:style>
  <w:style w:type="character" w:customStyle="1" w:styleId="HTMLPreformattedChar">
    <w:name w:val="HTML Preformatted Char"/>
    <w:basedOn w:val="DefaultParagraphFont"/>
    <w:link w:val="HTMLPreformatted"/>
    <w:uiPriority w:val="99"/>
    <w:rsid w:val="0033454E"/>
    <w:rPr>
      <w:rFonts w:ascii="Courier New" w:eastAsia="Times New Roman" w:hAnsi="Courier New" w:cs="Courier New"/>
      <w:sz w:val="24"/>
      <w:szCs w:val="24"/>
      <w:lang w:val="en-GB" w:eastAsia="en-GB"/>
    </w:rPr>
  </w:style>
  <w:style w:type="character" w:customStyle="1" w:styleId="feature">
    <w:name w:val="feature"/>
    <w:basedOn w:val="DefaultParagraphFont"/>
    <w:rsid w:val="0033454E"/>
  </w:style>
  <w:style w:type="character" w:customStyle="1" w:styleId="st1">
    <w:name w:val="st1"/>
    <w:basedOn w:val="DefaultParagraphFont"/>
    <w:rsid w:val="0033454E"/>
  </w:style>
  <w:style w:type="paragraph" w:customStyle="1" w:styleId="PARA">
    <w:name w:val="_PARA_"/>
    <w:basedOn w:val="Normal"/>
    <w:link w:val="PARAChar"/>
    <w:rsid w:val="0033454E"/>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
    <w:rsid w:val="0033454E"/>
    <w:rPr>
      <w:rFonts w:ascii="Georgia" w:hAnsi="Georgia" w:cstheme="minorBidi"/>
      <w:lang w:val="en-CA"/>
    </w:rPr>
  </w:style>
  <w:style w:type="character" w:styleId="PlaceholderText">
    <w:name w:val="Placeholder Text"/>
    <w:basedOn w:val="DefaultParagraphFont"/>
    <w:uiPriority w:val="99"/>
    <w:semiHidden/>
    <w:rsid w:val="0033454E"/>
    <w:rPr>
      <w:color w:val="808080"/>
    </w:rPr>
  </w:style>
  <w:style w:type="character" w:styleId="HTMLCite">
    <w:name w:val="HTML Cite"/>
    <w:basedOn w:val="DefaultParagraphFont"/>
    <w:uiPriority w:val="99"/>
    <w:unhideWhenUsed/>
    <w:rsid w:val="0033454E"/>
    <w:rPr>
      <w:i/>
      <w:iCs/>
    </w:rPr>
  </w:style>
  <w:style w:type="paragraph" w:customStyle="1" w:styleId="Default">
    <w:name w:val="Default"/>
    <w:rsid w:val="0033454E"/>
    <w:pPr>
      <w:autoSpaceDE w:val="0"/>
      <w:autoSpaceDN w:val="0"/>
      <w:adjustRightInd w:val="0"/>
    </w:pPr>
    <w:rPr>
      <w:rFonts w:eastAsia="Times New Roman"/>
      <w:color w:val="000000"/>
      <w:sz w:val="24"/>
      <w:szCs w:val="24"/>
      <w:lang w:val="en-GB" w:eastAsia="en-GB"/>
    </w:rPr>
  </w:style>
  <w:style w:type="paragraph" w:styleId="Signature">
    <w:name w:val="Signature"/>
    <w:basedOn w:val="Normal"/>
    <w:link w:val="SignatureChar"/>
    <w:rsid w:val="0033454E"/>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33454E"/>
    <w:rPr>
      <w:rFonts w:eastAsia="Times New Roman" w:cs="Times New Roman"/>
      <w:szCs w:val="20"/>
      <w:lang w:val="en-US"/>
    </w:rPr>
  </w:style>
  <w:style w:type="paragraph" w:styleId="Revision">
    <w:name w:val="Revision"/>
    <w:hidden/>
    <w:uiPriority w:val="99"/>
    <w:semiHidden/>
    <w:rsid w:val="00E5589F"/>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egislation.gov.au/Series/F2015L00452" TargetMode="External"/><Relationship Id="rId26" Type="http://schemas.openxmlformats.org/officeDocument/2006/relationships/hyperlink" Target="https://blast.ncbi.nlm.nih.gov/Blast.cgi" TargetMode="External"/><Relationship Id="rId39" Type="http://schemas.openxmlformats.org/officeDocument/2006/relationships/hyperlink" Target="http://publications.gc.ca/site/archivee-archived.html?url=http://publications.gc.ca/collections/collection_2016/eccc/En14-228-2015-eng.pdf" TargetMode="External"/><Relationship Id="rId21" Type="http://schemas.openxmlformats.org/officeDocument/2006/relationships/image" Target="media/image4.png"/><Relationship Id="rId34" Type="http://schemas.openxmlformats.org/officeDocument/2006/relationships/hyperlink" Target="http://www.bee-hexagon.net/files/file/fileE/Health/PollenBook2Review.pdf" TargetMode="External"/><Relationship Id="rId42" Type="http://schemas.openxmlformats.org/officeDocument/2006/relationships/hyperlink" Target="http://www.foodstandards.gov.au/code/applications/pages/applicationa533foodd2440.aspx" TargetMode="External"/><Relationship Id="rId47" Type="http://schemas.openxmlformats.org/officeDocument/2006/relationships/hyperlink" Target="http://www.oecd.org/document/22/0,3746,en_2649_34385_46808854_1_1_1_1,00.html"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emboss.sourceforge.net/" TargetMode="Externa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www.foodstandards.gov.au/consumer/chemicals/maxresidue/Pages/default.aspx" TargetMode="External"/><Relationship Id="rId37" Type="http://schemas.openxmlformats.org/officeDocument/2006/relationships/hyperlink" Target="http://www.codexalimentarius.org/standards/thematic-publications/" TargetMode="External"/><Relationship Id="rId40" Type="http://schemas.openxmlformats.org/officeDocument/2006/relationships/hyperlink" Target="http://faostat3.fao.org/browse/T/TP/E" TargetMode="External"/><Relationship Id="rId45" Type="http://schemas.openxmlformats.org/officeDocument/2006/relationships/hyperlink" Target="http://www.oecd.org/science/biotrack/consensus-document-for-work-on-safety-novel-and-foods-feeds-plants.ht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cied.com/pr_cmpro.htm" TargetMode="External"/><Relationship Id="rId28" Type="http://schemas.openxmlformats.org/officeDocument/2006/relationships/hyperlink" Target="http://www.genoscope.cns.fr/spip/spip.php?lang=en" TargetMode="External"/><Relationship Id="rId36" Type="http://schemas.openxmlformats.org/officeDocument/2006/relationships/hyperlink" Target="http://www.canolacouncil.org/canola-encyclopedia/crop-development/growth-stages/" TargetMode="External"/><Relationship Id="rId49" Type="http://schemas.openxmlformats.org/officeDocument/2006/relationships/hyperlink" Target="http://www.australianoilseeds.com/commodity_groups/canola_association_of_australia/quality_of_australian_canola"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http://www.allergenonline.org/" TargetMode="External"/><Relationship Id="rId44" Type="http://schemas.openxmlformats.org/officeDocument/2006/relationships/hyperlink" Target="https://www.oecd.org/env/ehs/biotrack/4681562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dnavision.com/" TargetMode="External"/><Relationship Id="rId27" Type="http://schemas.openxmlformats.org/officeDocument/2006/relationships/hyperlink" Target="https://www.ncbi.nlm.nih.gov/" TargetMode="External"/><Relationship Id="rId30" Type="http://schemas.openxmlformats.org/officeDocument/2006/relationships/hyperlink" Target="https://www.ncbi.nlm.nih.gov/BLAST/tutorial/Altschul-1.html" TargetMode="External"/><Relationship Id="rId35" Type="http://schemas.openxmlformats.org/officeDocument/2006/relationships/hyperlink" Target="http://www.canolacouncil.org/oil-and-meal/what-is-canola/how-canola-is-processed/steps-in-oil-and-meal-processing/" TargetMode="External"/><Relationship Id="rId43" Type="http://schemas.openxmlformats.org/officeDocument/2006/relationships/hyperlink" Target="https://doi.org/10.1093/toxsci/55.2.235" TargetMode="External"/><Relationship Id="rId48" Type="http://schemas.openxmlformats.org/officeDocument/2006/relationships/hyperlink" Target="http://www2.sas.com/proceedings/sugi29/189-29.pdf"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grdc.com.au/Media-Centre/Ground-Cover/Ground-Cover-Issue-108-Jan-Feb-2014/Canola-role-for-aquaculture" TargetMode="External"/><Relationship Id="rId25" Type="http://schemas.openxmlformats.org/officeDocument/2006/relationships/hyperlink" Target="https://www.thermofisher.com/order/catalog/product/4337455" TargetMode="External"/><Relationship Id="rId33" Type="http://schemas.openxmlformats.org/officeDocument/2006/relationships/hyperlink" Target="http://www.australianoilseeds.com/" TargetMode="External"/><Relationship Id="rId38" Type="http://schemas.openxmlformats.org/officeDocument/2006/relationships/hyperlink" Target="http://www.dairyone.com/Forage/FeedComp/mainlibrary.asp" TargetMode="External"/><Relationship Id="rId46" Type="http://schemas.openxmlformats.org/officeDocument/2006/relationships/hyperlink" Target="http://www.oecd.org/officialdocuments/displaydocumentpdf?cote=ENV/JM/MONO(2003)10&amp;doclanguage=en" TargetMode="External"/><Relationship Id="rId20" Type="http://schemas.openxmlformats.org/officeDocument/2006/relationships/image" Target="media/image3.png"/><Relationship Id="rId41" Type="http://schemas.openxmlformats.org/officeDocument/2006/relationships/hyperlink" Target="http://www.foodstandards.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 TargetMode="External"/><Relationship Id="rId13" Type="http://schemas.openxmlformats.org/officeDocument/2006/relationships/hyperlink" Target="http://www.foodstandards.gov.au/consumer/chemicals/maxresidue/Pages/default.aspx" TargetMode="External"/><Relationship Id="rId3" Type="http://schemas.openxmlformats.org/officeDocument/2006/relationships/hyperlink" Target="https://www.legislation.gov.au/Series/F2015L00452" TargetMode="External"/><Relationship Id="rId7" Type="http://schemas.openxmlformats.org/officeDocument/2006/relationships/hyperlink" Target="https://blast.ncbi.nlm.nih.gov/Blast.cgi" TargetMode="External"/><Relationship Id="rId12" Type="http://schemas.openxmlformats.org/officeDocument/2006/relationships/hyperlink" Target="http://www.allergenonline.org/" TargetMode="External"/><Relationship Id="rId2" Type="http://schemas.openxmlformats.org/officeDocument/2006/relationships/hyperlink" Target="https://grdc.com.au/Media-Centre/Ground-Cover/Ground-Cover-Issue-108-Jan-Feb-2014/Canola-role-for-aquaculture" TargetMode="External"/><Relationship Id="rId1" Type="http://schemas.openxmlformats.org/officeDocument/2006/relationships/hyperlink" Target="http://www.fao.org/docrep/004/y2774e/y2774e04.htm" TargetMode="External"/><Relationship Id="rId6" Type="http://schemas.openxmlformats.org/officeDocument/2006/relationships/hyperlink" Target="https://www.thermofisher.com/order/catalog/product/4337455" TargetMode="External"/><Relationship Id="rId11" Type="http://schemas.openxmlformats.org/officeDocument/2006/relationships/hyperlink" Target="https://www.ncbi.nlm.nih.gov/BLAST/tutorial/Altschul-1.html" TargetMode="External"/><Relationship Id="rId5" Type="http://schemas.openxmlformats.org/officeDocument/2006/relationships/hyperlink" Target="http://www.scied.com/pr_cmpro.htm" TargetMode="External"/><Relationship Id="rId10" Type="http://schemas.openxmlformats.org/officeDocument/2006/relationships/hyperlink" Target="http://emboss.sourceforge.net/" TargetMode="External"/><Relationship Id="rId4" Type="http://schemas.openxmlformats.org/officeDocument/2006/relationships/hyperlink" Target="http://www.dnavision.com/" TargetMode="External"/><Relationship Id="rId9" Type="http://schemas.openxmlformats.org/officeDocument/2006/relationships/hyperlink" Target="http://www.genoscope.cns.fr/spip/spip.php?lang=en" TargetMode="External"/><Relationship Id="rId14" Type="http://schemas.openxmlformats.org/officeDocument/2006/relationships/hyperlink" Target="http://www.sas.com/technologies/analytics/statistics/sta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5AC0-C164-42C0-ABA0-B878E935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CB037-F89B-4612-913A-5D1F141D20AC}"/>
</file>

<file path=customXml/itemProps3.xml><?xml version="1.0" encoding="utf-8"?>
<ds:datastoreItem xmlns:ds="http://schemas.openxmlformats.org/officeDocument/2006/customXml" ds:itemID="{86F6BA6B-11C8-4D3D-8CF7-8E21376A5F23}"/>
</file>

<file path=customXml/itemProps4.xml><?xml version="1.0" encoding="utf-8"?>
<ds:datastoreItem xmlns:ds="http://schemas.openxmlformats.org/officeDocument/2006/customXml" ds:itemID="{7622E5C6-556F-4C3F-B49D-C765DA31882B}"/>
</file>

<file path=customXml/itemProps5.xml><?xml version="1.0" encoding="utf-8"?>
<ds:datastoreItem xmlns:ds="http://schemas.openxmlformats.org/officeDocument/2006/customXml" ds:itemID="{31838EE3-8A15-4F6E-B089-58534176BE75}"/>
</file>

<file path=customXml/itemProps6.xml><?xml version="1.0" encoding="utf-8"?>
<ds:datastoreItem xmlns:ds="http://schemas.openxmlformats.org/officeDocument/2006/customXml" ds:itemID="{7622E5C6-556F-4C3F-B49D-C765DA31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51</Pages>
  <Words>23037</Words>
  <Characters>131314</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lastModifiedBy>Humphries, Cathie</cp:lastModifiedBy>
  <cp:revision>10</cp:revision>
  <cp:lastPrinted>2017-04-20T00:59:00Z</cp:lastPrinted>
  <dcterms:created xsi:type="dcterms:W3CDTF">2017-05-03T06:12:00Z</dcterms:created>
  <dcterms:modified xsi:type="dcterms:W3CDTF">2017-05-03T07:34:00Z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6277d190-b4ae-4657-ae74-0977f8bea57e</vt:lpwstr>
  </property>
  <property fmtid="{D5CDD505-2E9C-101B-9397-08002B2CF9AE}" pid="6" name="TitusGUID">
    <vt:lpwstr>81a8d419-c52d-42ab-85e9-5e60dc117913</vt:lpwstr>
  </property>
</Properties>
</file>